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w:t>
      </w:r>
    </w:p>
    <w:p>
      <w:pPr>
        <w:pStyle w:val="Normal"/>
        <w:shd w:val="clear" w:color="auto" w:fill="FFFFFF"/>
        <w:tabs>
          <w:tab w:val="clear" w:pos="708"/>
          <w:tab w:val="left" w:pos="6926" w:leader="none"/>
        </w:tabs>
        <w:jc w:val="center"/>
        <w:rPr>
          <w:b/>
          <w:sz w:val="24"/>
          <w:szCs w:val="24"/>
        </w:rPr>
      </w:pPr>
      <w:r>
        <w:rPr>
          <w:b/>
          <w:bCs/>
          <w:sz w:val="24"/>
          <w:szCs w:val="24"/>
        </w:rPr>
        <w:t>№</w:t>
      </w:r>
    </w:p>
    <w:p>
      <w:pPr>
        <w:pStyle w:val="Normal"/>
        <w:shd w:val="clear" w:color="auto" w:fill="FFFFFF"/>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Саяногорск, рп. Черемушки</w:t>
        <w:tab/>
        <w:t xml:space="preserve">   «___» _________ 202</w:t>
      </w:r>
      <w:r>
        <w:rPr>
          <w:bCs/>
          <w:sz w:val="24"/>
          <w:szCs w:val="24"/>
        </w:rPr>
        <w:t>6</w:t>
      </w:r>
      <w:r>
        <w:rPr>
          <w:bCs/>
          <w:sz w:val="24"/>
          <w:szCs w:val="24"/>
        </w:rPr>
        <w:t xml:space="preserve">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rPr>
      </w:pPr>
      <w:r>
        <w:rPr>
          <w:bCs/>
          <w:sz w:val="24"/>
          <w:szCs w:val="24"/>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eastAsia="en-US"/>
        </w:rPr>
      </w:pPr>
      <w:r>
        <w:rPr>
          <w:b w:val="false"/>
          <w:sz w:val="24"/>
          <w:szCs w:val="24"/>
          <w:lang w:eastAsia="en-US"/>
        </w:rPr>
        <w:t xml:space="preserve"> </w:t>
      </w:r>
      <w:r>
        <w:rPr>
          <w:rFonts w:ascii="Times New Roman" w:hAnsi="Times New Roman"/>
          <w:color w:val="auto"/>
          <w:sz w:val="24"/>
          <w:szCs w:val="24"/>
          <w:lang w:eastAsia="en-US"/>
        </w:rPr>
        <w:t>«Применимое право»</w:t>
      </w:r>
      <w:r>
        <w:rPr>
          <w:rFonts w:ascii="Times New Roman" w:hAnsi="Times New Roman"/>
          <w:b w:val="false"/>
          <w:color w:val="auto"/>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sz w:val="24"/>
          <w:szCs w:val="24"/>
          <w:lang w:eastAsia="en-US"/>
        </w:rPr>
      </w:pPr>
      <w:r>
        <w:rPr>
          <w:rFonts w:ascii="Times New Roman" w:hAnsi="Times New Roman"/>
          <w:color w:val="auto"/>
          <w:sz w:val="24"/>
          <w:szCs w:val="24"/>
          <w:lang w:eastAsia="en-US"/>
        </w:rPr>
        <w:t>«Цена Договора»</w:t>
      </w:r>
      <w:r>
        <w:rPr>
          <w:rFonts w:ascii="Times New Roman" w:hAnsi="Times New Roman"/>
          <w:b w:val="false"/>
          <w:color w:val="auto"/>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Cs/>
          <w:sz w:val="24"/>
          <w:szCs w:val="24"/>
          <w:lang w:eastAsia="en-US"/>
        </w:rPr>
        <w:t>видеокамеры</w:t>
      </w:r>
      <w:r>
        <w:rPr>
          <w:bCs/>
          <w:i/>
          <w:sz w:val="24"/>
          <w:szCs w:val="24"/>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«Саяно-Шушенская ГЭС имени П.С. Непорожнего».</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rPr>
        <w:t>Республика Хакасия, г. Саяногорск, рп. Черемушки, 106, БГСО (далее – «Место поставки»).</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 xml:space="preserve">Общий срок поставки Товара: в течении </w:t>
      </w:r>
      <w:bookmarkStart w:id="0" w:name="_GoBack"/>
      <w:bookmarkEnd w:id="0"/>
      <w:r>
        <w:rPr>
          <w:bCs/>
          <w:sz w:val="24"/>
          <w:szCs w:val="24"/>
        </w:rPr>
        <w:t>30</w:t>
      </w:r>
      <w:r>
        <w:rPr>
          <w:bCs/>
          <w:sz w:val="24"/>
          <w:szCs w:val="24"/>
        </w:rPr>
        <w:t xml:space="preserve"> календарных дней с даты заключения договора. </w:t>
      </w:r>
    </w:p>
    <w:p>
      <w:pPr>
        <w:pStyle w:val="Normal"/>
        <w:shd w:val="clear" w:color="auto" w:fill="FFFFFF"/>
        <w:tabs>
          <w:tab w:val="clear" w:pos="708"/>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709" w:leader="none"/>
        </w:tabs>
        <w:ind w:left="0" w:firstLine="709"/>
        <w:jc w:val="both"/>
        <w:rPr/>
      </w:pPr>
      <w:r>
        <w:rPr>
          <w:sz w:val="24"/>
          <w:szCs w:val="24"/>
        </w:rPr>
        <w:t xml:space="preserve">Цена Договора в соответствии со Спецификацией (Приложение № 1 к Договору) является твердой  и составляет _________________________, без учета НДС, </w:t>
      </w:r>
      <w:r>
        <w:rPr>
          <w:bCs/>
          <w:sz w:val="24"/>
          <w:szCs w:val="24"/>
        </w:rPr>
        <w:t>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8"/>
          <w:tab w:val="left" w:pos="567" w:leader="none"/>
        </w:tabs>
        <w:ind w:left="0" w:firstLine="720"/>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2.2.4. заработную плату, накладные и командировочные расходы, перемещение и размещение персонала Поставщика;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Norma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Последующий платеж в размере 70 % (семидесяти процентов) от стоимости Товара выплачиваются Поставщику в течение 20 (двадцати) календарных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8"/>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8"/>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tabs>
          <w:tab w:val="clear" w:pos="708"/>
          <w:tab w:val="left" w:pos="1134" w:leader="none"/>
        </w:tabs>
        <w:ind w:firstLine="709"/>
        <w:jc w:val="both"/>
        <w:rPr>
          <w:sz w:val="24"/>
          <w:szCs w:val="24"/>
        </w:rPr>
      </w:pPr>
      <w:r>
        <w:rPr>
          <w:sz w:val="24"/>
          <w:szCs w:val="24"/>
        </w:rPr>
      </w:r>
    </w:p>
    <w:p>
      <w:pPr>
        <w:pStyle w:val="Normal"/>
        <w:tabs>
          <w:tab w:val="clear" w:pos="708"/>
          <w:tab w:val="left" w:pos="1134" w:leader="none"/>
        </w:tabs>
        <w:ind w:firstLine="709"/>
        <w:jc w:val="both"/>
        <w:rPr>
          <w:sz w:val="24"/>
          <w:szCs w:val="24"/>
        </w:rPr>
      </w:pPr>
      <w:r>
        <w:rPr>
          <w:sz w:val="24"/>
          <w:szCs w:val="24"/>
        </w:rPr>
      </w:r>
    </w:p>
    <w:p>
      <w:pPr>
        <w:pStyle w:val="Normal"/>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 (одном)экз.;</w:t>
      </w:r>
    </w:p>
    <w:p>
      <w:pPr>
        <w:pStyle w:val="Normal"/>
        <w:numPr>
          <w:ilvl w:val="0"/>
          <w:numId w:val="4"/>
        </w:numPr>
        <w:tabs>
          <w:tab w:val="clear" w:pos="708"/>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 в 2 (двух)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
        </w:numPr>
        <w:tabs>
          <w:tab w:val="clear" w:pos="708"/>
          <w:tab w:val="left" w:pos="1276"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ListParagraph"/>
        <w:widowControl/>
        <w:numPr>
          <w:ilvl w:val="1"/>
          <w:numId w:val="2"/>
        </w:numPr>
        <w:tabs>
          <w:tab w:val="clear" w:pos="708"/>
          <w:tab w:val="left" w:pos="1276" w:leader="none"/>
        </w:tabs>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2"/>
          <w:numId w:val="2"/>
        </w:numPr>
        <w:tabs>
          <w:tab w:val="clear" w:pos="708"/>
        </w:tabs>
        <w:ind w:left="0" w:firstLine="709"/>
        <w:jc w:val="both"/>
        <w:rPr>
          <w:bCs/>
          <w:sz w:val="24"/>
          <w:szCs w:val="24"/>
        </w:rPr>
      </w:pPr>
      <w:r>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2"/>
          <w:numId w:val="2"/>
        </w:numPr>
        <w:tabs>
          <w:tab w:val="clear" w:pos="708"/>
        </w:tabs>
        <w:ind w:left="0" w:firstLine="709"/>
        <w:jc w:val="both"/>
        <w:rPr>
          <w:bCs/>
          <w:sz w:val="24"/>
          <w:szCs w:val="24"/>
        </w:rPr>
      </w:pPr>
      <w:r>
        <w:rPr>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8"/>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8"/>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8"/>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установленного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10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2"/>
        </w:numPr>
        <w:shd w:val="clear" w:color="auto" w:fill="FFFFFF"/>
        <w:tabs>
          <w:tab w:val="clear" w:pos="708"/>
          <w:tab w:val="left" w:pos="142" w:leader="none"/>
          <w:tab w:val="left" w:pos="1418" w:leader="none"/>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8"/>
          <w:tab w:val="left" w:pos="142" w:leader="none"/>
          <w:tab w:val="left" w:pos="709" w:leader="none"/>
        </w:tabs>
        <w:jc w:val="both"/>
        <w:rPr>
          <w:sz w:val="24"/>
          <w:szCs w:val="24"/>
        </w:rPr>
      </w:pPr>
      <w:r>
        <w:rPr>
          <w:sz w:val="24"/>
          <w:szCs w:val="24"/>
        </w:rPr>
        <w:tab/>
        <w:tab/>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w:t>
      </w:r>
      <w:bookmarkEnd w:id="10"/>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8"/>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bookmarkEnd w:id="11"/>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hanging="0"/>
        <w:rPr>
          <w:b/>
          <w:bCs/>
          <w:sz w:val="24"/>
          <w:szCs w:val="24"/>
        </w:rPr>
      </w:pPr>
      <w:r>
        <w:rPr>
          <w:b/>
          <w:bCs/>
          <w:sz w:val="24"/>
          <w:szCs w:val="24"/>
        </w:rPr>
      </w:r>
    </w:p>
    <w:tbl>
      <w:tblPr>
        <w:tblW w:w="9639" w:type="dxa"/>
        <w:jc w:val="left"/>
        <w:tblInd w:w="-5" w:type="dxa"/>
        <w:tblLayout w:type="fixed"/>
        <w:tblCellMar>
          <w:top w:w="0" w:type="dxa"/>
          <w:left w:w="108" w:type="dxa"/>
          <w:bottom w:w="0" w:type="dxa"/>
          <w:right w:w="108" w:type="dxa"/>
        </w:tblCellMar>
        <w:tblLook w:val="01e0" w:noVBand="0" w:noHBand="0" w:lastColumn="1" w:firstColumn="1" w:lastRow="1" w:firstRow="1"/>
      </w:tblPr>
      <w:tblGrid>
        <w:gridCol w:w="2481"/>
        <w:gridCol w:w="3756"/>
        <w:gridCol w:w="3402"/>
      </w:tblGrid>
      <w:tr>
        <w:trPr>
          <w:tblHeader w:val="true"/>
          <w:trHeight w:val="794"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ind w:left="360" w:hanging="0"/>
              <w:jc w:val="center"/>
              <w:rPr>
                <w:b/>
                <w:color w:val="000000"/>
                <w:sz w:val="24"/>
                <w:szCs w:val="24"/>
                <w:lang w:eastAsia="en-US"/>
              </w:rPr>
            </w:pPr>
            <w:r>
              <w:rPr>
                <w:b/>
                <w:color w:val="000000"/>
                <w:sz w:val="24"/>
                <w:szCs w:val="24"/>
                <w:lang w:eastAsia="en-US"/>
              </w:rPr>
              <w:t>Наименование реквизита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jc w:val="center"/>
              <w:rPr>
                <w:b/>
                <w:color w:val="000000"/>
                <w:sz w:val="24"/>
                <w:szCs w:val="24"/>
                <w:lang w:eastAsia="en-US"/>
              </w:rPr>
            </w:pPr>
            <w:r>
              <w:rPr>
                <w:b/>
                <w:color w:val="000000"/>
                <w:sz w:val="24"/>
                <w:szCs w:val="24"/>
                <w:lang w:eastAsia="en-US"/>
              </w:rPr>
              <w:t>Покупатель</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jc w:val="center"/>
              <w:rPr>
                <w:b/>
                <w:sz w:val="24"/>
                <w:szCs w:val="24"/>
                <w:lang w:eastAsia="en-US"/>
              </w:rPr>
            </w:pPr>
            <w:r>
              <w:rPr>
                <w:b/>
                <w:sz w:val="24"/>
                <w:szCs w:val="24"/>
                <w:lang w:eastAsia="en-US"/>
              </w:rPr>
              <w:t>Поставщик</w:t>
            </w:r>
          </w:p>
        </w:tc>
      </w:tr>
      <w:tr>
        <w:trPr>
          <w:trHeight w:val="558"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Полное наименование</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60"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Сокращенное наименование</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ПАО «РусГидро»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771"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Место нахождения Общества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447"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Почтовый адрес для отправки корреспонденции</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 xml:space="preserve">655619, Российская Федерация, Республика Хакасия, </w:t>
            </w:r>
          </w:p>
          <w:p>
            <w:pPr>
              <w:pStyle w:val="Normal"/>
              <w:widowControl w:val="false"/>
              <w:snapToGrid w:val="false"/>
              <w:spacing w:lineRule="auto" w:line="216"/>
              <w:jc w:val="center"/>
              <w:rPr>
                <w:sz w:val="24"/>
                <w:szCs w:val="24"/>
                <w:lang w:eastAsia="en-US"/>
              </w:rPr>
            </w:pPr>
            <w:r>
              <w:rPr>
                <w:sz w:val="24"/>
                <w:szCs w:val="24"/>
                <w:lang w:eastAsia="en-US"/>
              </w:rPr>
              <w:t xml:space="preserve">г. Саяногорск, рп. Черемушки, </w:t>
            </w:r>
          </w:p>
          <w:p>
            <w:pPr>
              <w:pStyle w:val="Normal"/>
              <w:widowControl w:val="false"/>
              <w:snapToGrid w:val="false"/>
              <w:spacing w:lineRule="auto" w:line="216"/>
              <w:jc w:val="center"/>
              <w:rPr>
                <w:sz w:val="24"/>
                <w:szCs w:val="24"/>
                <w:lang w:eastAsia="en-US"/>
              </w:rPr>
            </w:pPr>
            <w:r>
              <w:rPr>
                <w:sz w:val="24"/>
                <w:szCs w:val="24"/>
                <w:lang w:eastAsia="en-US"/>
              </w:rPr>
              <w:t>а/я 39</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921"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Полное наименование филиала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725"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Сокращенное наименование филиала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Филиал ПАО «РусГидро» – «Саяно-Шушенская ГЭС имени П.С. Непорожнего»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884"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Место нахождения филиала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 xml:space="preserve">655619, Российская Федерация, Республика Хакасия, </w:t>
            </w:r>
          </w:p>
          <w:p>
            <w:pPr>
              <w:pStyle w:val="Normal"/>
              <w:widowControl w:val="false"/>
              <w:snapToGrid w:val="false"/>
              <w:spacing w:lineRule="auto" w:line="216"/>
              <w:jc w:val="center"/>
              <w:rPr>
                <w:sz w:val="24"/>
                <w:szCs w:val="24"/>
                <w:lang w:eastAsia="en-US"/>
              </w:rPr>
            </w:pPr>
            <w:r>
              <w:rPr>
                <w:sz w:val="24"/>
                <w:szCs w:val="24"/>
                <w:lang w:eastAsia="en-US"/>
              </w:rPr>
              <w:t>г. Саяногорск, рп. Черемушки</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982"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Получатель</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Филиал ПАО «РусГидро» – «Саяно-Шушенская ГЭС имени П.С. Непорожнего»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rPr>
                <w:sz w:val="24"/>
                <w:szCs w:val="24"/>
                <w:lang w:eastAsia="en-US"/>
              </w:rPr>
            </w:pPr>
            <w:r>
              <w:rPr>
                <w:sz w:val="24"/>
                <w:szCs w:val="24"/>
                <w:lang w:eastAsia="en-US"/>
              </w:rPr>
            </w:r>
          </w:p>
        </w:tc>
      </w:tr>
      <w:tr>
        <w:trPr>
          <w:trHeight w:val="841"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Банк получателя</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exact" w:line="230"/>
              <w:ind w:left="-40" w:hanging="0"/>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413"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Расчетный счет</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231"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Корреспондентский счет</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175"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БИК</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157"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ИНН/КПП</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spacing w:lineRule="auto" w:line="254"/>
              <w:jc w:val="center"/>
              <w:rPr>
                <w:lang w:eastAsia="en-US"/>
              </w:rPr>
            </w:pPr>
            <w:r>
              <w:rPr>
                <w:lang w:eastAsia="en-US"/>
              </w:rPr>
            </w:r>
          </w:p>
        </w:tc>
      </w:tr>
      <w:tr>
        <w:trPr>
          <w:trHeight w:val="157"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ОГРН</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225"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Тел./ факс</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326"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Руководитель</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717"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sz w:val="24"/>
                <w:szCs w:val="24"/>
                <w:lang w:eastAsia="en-US"/>
              </w:rPr>
            </w:pPr>
            <w:r>
              <w:rPr>
                <w:color w:val="000000"/>
                <w:sz w:val="24"/>
                <w:szCs w:val="24"/>
                <w:lang w:eastAsia="en-US"/>
              </w:rPr>
              <w:t>Контактное лицо</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sz w:val="24"/>
                <w:szCs w:val="24"/>
                <w:lang w:val="en-US" w:eastAsia="en-US"/>
              </w:rPr>
            </w:pPr>
            <w:r>
              <w:rPr>
                <w:sz w:val="24"/>
                <w:szCs w:val="24"/>
                <w:lang w:val="en-US"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sz w:val="24"/>
                <w:szCs w:val="24"/>
                <w:lang w:eastAsia="en-US"/>
              </w:rPr>
            </w:pPr>
            <w:r>
              <w:rPr>
                <w:sz w:val="24"/>
                <w:szCs w:val="24"/>
                <w:lang w:eastAsia="en-US"/>
              </w:rPr>
            </w:r>
          </w:p>
        </w:tc>
      </w:tr>
      <w:tr>
        <w:trPr>
          <w:trHeight w:val="608"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Лицо, имеющее право подписи первичных документов</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sz w:val="24"/>
                <w:szCs w:val="24"/>
                <w:lang w:eastAsia="en-US"/>
              </w:rPr>
            </w:pPr>
            <w:r>
              <w:rPr>
                <w:sz w:val="24"/>
                <w:szCs w:val="24"/>
                <w:lang w:eastAsia="en-US"/>
              </w:rPr>
            </w:r>
          </w:p>
        </w:tc>
      </w:tr>
    </w:tbl>
    <w:p>
      <w:pPr>
        <w:pStyle w:val="ListParagraph"/>
        <w:widowControl/>
        <w:shd w:val="clear" w:color="auto" w:fill="FFFFFF"/>
        <w:tabs>
          <w:tab w:val="clear" w:pos="708"/>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9398"/>
        <w:gridCol w:w="277"/>
        <w:gridCol w:w="203"/>
        <w:gridCol w:w="12"/>
      </w:tblGrid>
      <w:tr>
        <w:trPr/>
        <w:tc>
          <w:tcPr>
            <w:tcW w:w="9675" w:type="dxa"/>
            <w:gridSpan w:val="2"/>
            <w:tcBorders/>
          </w:tcPr>
          <w:p>
            <w:pPr>
              <w:pStyle w:val="Normal"/>
              <w:widowControl w:val="false"/>
              <w:numPr>
                <w:ilvl w:val="0"/>
                <w:numId w:val="0"/>
              </w:numPr>
              <w:jc w:val="center"/>
              <w:outlineLvl w:val="0"/>
              <w:rPr>
                <w:b/>
                <w:bCs/>
                <w:sz w:val="24"/>
                <w:szCs w:val="24"/>
              </w:rPr>
            </w:pPr>
            <w:r>
              <w:rPr>
                <w:b/>
                <w:bCs/>
                <w:sz w:val="24"/>
                <w:szCs w:val="24"/>
              </w:rPr>
              <w:t>ПОДПИСИ СТОРОН:</w:t>
            </w:r>
          </w:p>
          <w:p>
            <w:pPr>
              <w:pStyle w:val="Normal"/>
              <w:widowControl w:val="false"/>
              <w:numPr>
                <w:ilvl w:val="0"/>
                <w:numId w:val="0"/>
              </w:numPr>
              <w:jc w:val="center"/>
              <w:outlineLvl w:val="0"/>
              <w:rPr>
                <w:b/>
                <w:bCs/>
                <w:sz w:val="24"/>
                <w:szCs w:val="24"/>
              </w:rPr>
            </w:pPr>
            <w:r>
              <w:rPr>
                <w:b/>
                <w:bCs/>
                <w:sz w:val="24"/>
                <w:szCs w:val="24"/>
              </w:rPr>
            </w:r>
          </w:p>
          <w:tbl>
            <w:tblPr>
              <w:tblW w:w="981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tcPr>
                <w:p>
                  <w:pPr>
                    <w:pStyle w:val="Normal"/>
                    <w:widowControl w:val="false"/>
                    <w:spacing w:lineRule="auto" w:line="254"/>
                    <w:rPr>
                      <w:b/>
                      <w:sz w:val="24"/>
                      <w:szCs w:val="24"/>
                      <w:lang w:eastAsia="en-US"/>
                    </w:rPr>
                  </w:pPr>
                  <w:r>
                    <w:rPr>
                      <w:b/>
                      <w:sz w:val="24"/>
                      <w:szCs w:val="24"/>
                      <w:lang w:eastAsia="en-US"/>
                    </w:rPr>
                    <w:t>Покупатель:</w:t>
                  </w:r>
                </w:p>
                <w:p>
                  <w:pPr>
                    <w:pStyle w:val="Normal"/>
                    <w:widowControl w:val="false"/>
                    <w:spacing w:lineRule="auto" w:line="254"/>
                    <w:rPr>
                      <w:sz w:val="24"/>
                      <w:szCs w:val="24"/>
                      <w:lang w:eastAsia="en-US"/>
                    </w:rPr>
                  </w:pPr>
                  <w:r>
                    <w:rPr>
                      <w:sz w:val="24"/>
                      <w:szCs w:val="24"/>
                      <w:lang w:eastAsia="en-US"/>
                    </w:rPr>
                  </w:r>
                </w:p>
                <w:p>
                  <w:pPr>
                    <w:pStyle w:val="Normal"/>
                    <w:widowControl w:val="false"/>
                    <w:spacing w:lineRule="auto" w:line="254"/>
                    <w:rPr>
                      <w:sz w:val="24"/>
                      <w:szCs w:val="24"/>
                      <w:lang w:eastAsia="en-US"/>
                    </w:rPr>
                  </w:pPr>
                  <w:r>
                    <w:rPr>
                      <w:sz w:val="24"/>
                      <w:szCs w:val="24"/>
                      <w:lang w:eastAsia="en-US"/>
                    </w:rPr>
                    <w:t xml:space="preserve">___________________   / </w:t>
                  </w:r>
                </w:p>
                <w:p>
                  <w:pPr>
                    <w:pStyle w:val="Normal"/>
                    <w:widowControl w:val="false"/>
                    <w:spacing w:lineRule="auto" w:line="254"/>
                    <w:rPr>
                      <w:sz w:val="24"/>
                      <w:szCs w:val="24"/>
                      <w:lang w:eastAsia="en-US"/>
                    </w:rPr>
                  </w:pPr>
                  <w:r>
                    <w:rPr>
                      <w:sz w:val="24"/>
                      <w:szCs w:val="24"/>
                      <w:lang w:eastAsia="en-US"/>
                    </w:rPr>
                  </w:r>
                </w:p>
              </w:tc>
              <w:tc>
                <w:tcPr>
                  <w:tcW w:w="4819" w:type="dxa"/>
                  <w:tcBorders/>
                </w:tcPr>
                <w:p>
                  <w:pPr>
                    <w:pStyle w:val="Normal"/>
                    <w:widowControl w:val="false"/>
                    <w:spacing w:lineRule="auto" w:line="254"/>
                    <w:ind w:firstLine="34"/>
                    <w:rPr>
                      <w:b/>
                      <w:sz w:val="24"/>
                      <w:szCs w:val="24"/>
                      <w:lang w:eastAsia="en-US"/>
                    </w:rPr>
                  </w:pPr>
                  <w:r>
                    <w:rPr>
                      <w:b/>
                      <w:sz w:val="24"/>
                      <w:szCs w:val="24"/>
                      <w:lang w:eastAsia="en-US"/>
                    </w:rPr>
                    <w:t>Поставщик:</w:t>
                  </w:r>
                </w:p>
                <w:p>
                  <w:pPr>
                    <w:pStyle w:val="Normal"/>
                    <w:widowControl w:val="false"/>
                    <w:spacing w:lineRule="auto" w:line="254"/>
                    <w:rPr>
                      <w:sz w:val="24"/>
                      <w:szCs w:val="24"/>
                      <w:lang w:eastAsia="en-US"/>
                    </w:rPr>
                  </w:pPr>
                  <w:r>
                    <w:rPr>
                      <w:sz w:val="24"/>
                      <w:szCs w:val="24"/>
                      <w:lang w:eastAsia="en-US"/>
                    </w:rPr>
                  </w:r>
                </w:p>
                <w:p>
                  <w:pPr>
                    <w:pStyle w:val="Normal"/>
                    <w:widowControl w:val="false"/>
                    <w:spacing w:lineRule="auto" w:line="254"/>
                    <w:rPr>
                      <w:b/>
                      <w:sz w:val="24"/>
                      <w:szCs w:val="24"/>
                      <w:lang w:eastAsia="en-US"/>
                    </w:rPr>
                  </w:pPr>
                  <w:r>
                    <w:rPr>
                      <w:sz w:val="24"/>
                      <w:szCs w:val="24"/>
                      <w:lang w:eastAsia="en-US"/>
                    </w:rPr>
                    <w:t>__________________ /</w:t>
                  </w:r>
                </w:p>
              </w:tc>
            </w:tr>
          </w:tbl>
          <w:p>
            <w:pPr>
              <w:pStyle w:val="Normal"/>
              <w:widowControl w:val="false"/>
              <w:rPr>
                <w:sz w:val="24"/>
                <w:szCs w:val="24"/>
              </w:rPr>
            </w:pPr>
            <w:r>
              <w:rPr>
                <w:sz w:val="24"/>
                <w:szCs w:val="24"/>
              </w:rPr>
            </w:r>
          </w:p>
        </w:tc>
        <w:tc>
          <w:tcPr>
            <w:tcW w:w="215" w:type="dxa"/>
            <w:gridSpan w:val="2"/>
            <w:tcBorders/>
          </w:tcPr>
          <w:p>
            <w:pPr>
              <w:pStyle w:val="Normal"/>
              <w:widowControl w:val="false"/>
              <w:rPr>
                <w:sz w:val="24"/>
                <w:szCs w:val="24"/>
              </w:rPr>
            </w:pPr>
            <w:r>
              <w:rPr>
                <w:sz w:val="24"/>
                <w:szCs w:val="24"/>
              </w:rPr>
            </w:r>
          </w:p>
        </w:tc>
      </w:tr>
      <w:tr>
        <w:trPr/>
        <w:tc>
          <w:tcPr>
            <w:tcW w:w="9675" w:type="dxa"/>
            <w:gridSpan w:val="2"/>
            <w:tcBorders/>
            <w:shd w:color="auto" w:fill="auto" w:val="clear"/>
          </w:tcPr>
          <w:p>
            <w:pPr>
              <w:pStyle w:val="Normal"/>
              <w:widowControl w:val="false"/>
              <w:rPr>
                <w:sz w:val="24"/>
                <w:szCs w:val="24"/>
              </w:rPr>
            </w:pPr>
            <w:r>
              <w:rPr>
                <w:sz w:val="24"/>
                <w:szCs w:val="24"/>
              </w:rPr>
            </w:r>
          </w:p>
        </w:tc>
        <w:tc>
          <w:tcPr>
            <w:tcW w:w="215" w:type="dxa"/>
            <w:gridSpan w:val="2"/>
            <w:tcBorders/>
            <w:shd w:color="auto" w:fill="auto" w:val="clear"/>
          </w:tcPr>
          <w:p>
            <w:pPr>
              <w:pStyle w:val="Normal"/>
              <w:widowControl w:val="false"/>
              <w:rPr>
                <w:sz w:val="24"/>
                <w:szCs w:val="24"/>
              </w:rPr>
            </w:pPr>
            <w:r>
              <w:rPr>
                <w:sz w:val="24"/>
                <w:szCs w:val="24"/>
              </w:rPr>
            </w:r>
          </w:p>
        </w:tc>
      </w:tr>
      <w:tr>
        <w:trPr/>
        <w:tc>
          <w:tcPr>
            <w:tcW w:w="9398" w:type="dxa"/>
            <w:tcBorders/>
            <w:shd w:color="auto" w:fill="auto" w:val="clear"/>
          </w:tcPr>
          <w:p>
            <w:pPr>
              <w:pStyle w:val="Normal"/>
              <w:widowControl w:val="false"/>
              <w:rPr>
                <w:sz w:val="24"/>
                <w:szCs w:val="24"/>
              </w:rPr>
            </w:pPr>
            <w:r>
              <w:rPr>
                <w:sz w:val="24"/>
                <w:szCs w:val="24"/>
              </w:rPr>
            </w:r>
          </w:p>
        </w:tc>
        <w:tc>
          <w:tcPr>
            <w:tcW w:w="480" w:type="dxa"/>
            <w:gridSpan w:val="2"/>
            <w:tcBorders/>
            <w:shd w:color="auto" w:fill="auto" w:val="clear"/>
          </w:tcPr>
          <w:p>
            <w:pPr>
              <w:pStyle w:val="Normal"/>
              <w:widowControl w:val="false"/>
              <w:rPr>
                <w:sz w:val="24"/>
                <w:szCs w:val="24"/>
              </w:rPr>
            </w:pPr>
            <w:r>
              <w:rPr>
                <w:sz w:val="24"/>
                <w:szCs w:val="24"/>
              </w:rPr>
            </w:r>
          </w:p>
        </w:tc>
        <w:tc>
          <w:tcPr>
            <w:tcW w:w="12" w:type="dxa"/>
            <w:tcBorders/>
          </w:tcPr>
          <w:p>
            <w:pPr>
              <w:pStyle w:val="Normal"/>
              <w:widowControl w:val="false"/>
              <w:rPr/>
            </w:pPr>
            <w:r>
              <w:rPr/>
            </w:r>
          </w:p>
        </w:tc>
      </w:tr>
    </w:tbl>
    <w:p>
      <w:pPr>
        <w:sectPr>
          <w:headerReference w:type="default" r:id="rId2"/>
          <w:headerReference w:type="first" r:id="rId3"/>
          <w:footerReference w:type="default" r:id="rId4"/>
          <w:type w:val="nextPage"/>
          <w:pgSz w:w="11906" w:h="16838"/>
          <w:pgMar w:left="1418" w:right="851" w:gutter="0" w:header="709" w:top="1134" w:footer="709" w:bottom="2268"/>
          <w:pgNumType w:fmt="decimal"/>
          <w:formProt w:val="false"/>
          <w:titlePg/>
          <w:textDirection w:val="lrTb"/>
          <w:docGrid w:type="default" w:linePitch="360" w:charSpace="8192"/>
        </w:sectPr>
      </w:pPr>
    </w:p>
    <w:p>
      <w:pPr>
        <w:pStyle w:val="Normal"/>
        <w:suppressAutoHyphens w:val="true"/>
        <w:ind w:right="96" w:firstLine="5103"/>
        <w:jc w:val="right"/>
        <w:rPr>
          <w:sz w:val="24"/>
          <w:szCs w:val="24"/>
        </w:rPr>
      </w:pPr>
      <w:r>
        <w:rPr>
          <w:sz w:val="24"/>
          <w:szCs w:val="24"/>
        </w:rPr>
        <w:t>Приложение № 2</w:t>
      </w:r>
    </w:p>
    <w:p>
      <w:pPr>
        <w:pStyle w:val="Normal"/>
        <w:suppressAutoHyphens w:val="true"/>
        <w:ind w:right="96" w:firstLine="5103"/>
        <w:jc w:val="right"/>
        <w:rPr>
          <w:sz w:val="24"/>
          <w:szCs w:val="24"/>
        </w:rPr>
      </w:pPr>
      <w:r>
        <w:rPr>
          <w:sz w:val="24"/>
          <w:szCs w:val="24"/>
        </w:rPr>
        <w:t xml:space="preserve">к Договору поставки </w:t>
      </w:r>
    </w:p>
    <w:p>
      <w:pPr>
        <w:pStyle w:val="Normal"/>
        <w:suppressAutoHyphens w:val="true"/>
        <w:ind w:right="96" w:firstLine="5103"/>
        <w:jc w:val="right"/>
        <w:rPr>
          <w:sz w:val="24"/>
          <w:szCs w:val="24"/>
        </w:rPr>
      </w:pPr>
      <w:r>
        <w:rPr>
          <w:sz w:val="24"/>
          <w:szCs w:val="24"/>
        </w:rPr>
        <w:t xml:space="preserve">от «____» __________ 20 _ г. </w:t>
      </w:r>
    </w:p>
    <w:p>
      <w:pPr>
        <w:pStyle w:val="Normal"/>
        <w:suppressAutoHyphens w:val="true"/>
        <w:ind w:right="96" w:firstLine="5103"/>
        <w:jc w:val="right"/>
        <w:rPr>
          <w:sz w:val="24"/>
          <w:szCs w:val="24"/>
        </w:rPr>
      </w:pPr>
      <w:r>
        <w:rPr>
          <w:sz w:val="24"/>
          <w:szCs w:val="24"/>
        </w:rPr>
        <w:t xml:space="preserve">№ </w:t>
      </w:r>
    </w:p>
    <w:p>
      <w:pPr>
        <w:pStyle w:val="Normal"/>
        <w:widowControl/>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tbl>
      <w:tblPr>
        <w:tblW w:w="49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46"/>
        <w:gridCol w:w="5797"/>
      </w:tblGrid>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76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73"/>
        <w:gridCol w:w="4795"/>
      </w:tblGrid>
      <w:tr>
        <w:trPr>
          <w:trHeight w:val="1797" w:hRule="atLeast"/>
        </w:trPr>
        <w:tc>
          <w:tcPr>
            <w:tcW w:w="4973" w:type="dxa"/>
            <w:tcBorders/>
            <w:shd w:color="auto" w:fill="auto" w:val="clear"/>
          </w:tcPr>
          <w:p>
            <w:pPr>
              <w:pStyle w:val="Normal"/>
              <w:widowControl w:val="false"/>
              <w:spacing w:lineRule="auto" w:line="254"/>
              <w:rPr>
                <w:b/>
                <w:sz w:val="24"/>
                <w:szCs w:val="24"/>
                <w:lang w:eastAsia="en-US"/>
              </w:rPr>
            </w:pPr>
            <w:r>
              <w:rPr>
                <w:b/>
                <w:sz w:val="24"/>
                <w:szCs w:val="24"/>
                <w:lang w:eastAsia="en-US"/>
              </w:rPr>
              <w:t>Покупатель:</w:t>
            </w:r>
          </w:p>
          <w:p>
            <w:pPr>
              <w:pStyle w:val="Normal"/>
              <w:widowControl w:val="false"/>
              <w:spacing w:lineRule="auto" w:line="254"/>
              <w:rPr>
                <w:sz w:val="24"/>
                <w:szCs w:val="24"/>
                <w:lang w:eastAsia="en-US"/>
              </w:rPr>
            </w:pPr>
            <w:r>
              <w:rPr>
                <w:sz w:val="24"/>
                <w:szCs w:val="24"/>
                <w:lang w:eastAsia="en-US"/>
              </w:rPr>
            </w:r>
          </w:p>
          <w:p>
            <w:pPr>
              <w:pStyle w:val="Normal"/>
              <w:widowControl w:val="false"/>
              <w:spacing w:lineRule="auto" w:line="254"/>
              <w:rPr>
                <w:sz w:val="24"/>
                <w:szCs w:val="24"/>
                <w:lang w:eastAsia="en-US"/>
              </w:rPr>
            </w:pPr>
            <w:r>
              <w:rPr>
                <w:sz w:val="24"/>
                <w:szCs w:val="24"/>
                <w:lang w:eastAsia="en-US"/>
              </w:rPr>
              <w:t xml:space="preserve">___________________   / </w:t>
            </w:r>
          </w:p>
          <w:p>
            <w:pPr>
              <w:pStyle w:val="Normal"/>
              <w:widowControl w:val="false"/>
              <w:spacing w:lineRule="auto" w:line="360"/>
              <w:rPr>
                <w:sz w:val="24"/>
                <w:szCs w:val="24"/>
              </w:rPr>
            </w:pPr>
            <w:r>
              <w:rPr>
                <w:sz w:val="24"/>
                <w:szCs w:val="24"/>
              </w:rPr>
            </w:r>
          </w:p>
        </w:tc>
        <w:tc>
          <w:tcPr>
            <w:tcW w:w="4795" w:type="dxa"/>
            <w:tcBorders/>
            <w:shd w:color="auto" w:fill="auto" w:val="clear"/>
          </w:tcPr>
          <w:p>
            <w:pPr>
              <w:pStyle w:val="Normal"/>
              <w:widowControl w:val="false"/>
              <w:spacing w:lineRule="auto" w:line="254"/>
              <w:ind w:firstLine="34"/>
              <w:rPr>
                <w:b/>
                <w:sz w:val="24"/>
                <w:szCs w:val="24"/>
                <w:lang w:eastAsia="en-US"/>
              </w:rPr>
            </w:pPr>
            <w:r>
              <w:rPr>
                <w:b/>
                <w:sz w:val="24"/>
                <w:szCs w:val="24"/>
                <w:lang w:eastAsia="en-US"/>
              </w:rPr>
              <w:t>Поставщик:</w:t>
            </w:r>
          </w:p>
          <w:p>
            <w:pPr>
              <w:pStyle w:val="Normal"/>
              <w:widowControl w:val="false"/>
              <w:spacing w:lineRule="auto" w:line="254"/>
              <w:rPr>
                <w:sz w:val="24"/>
                <w:szCs w:val="24"/>
                <w:lang w:eastAsia="en-US"/>
              </w:rPr>
            </w:pPr>
            <w:r>
              <w:rPr>
                <w:sz w:val="24"/>
                <w:szCs w:val="24"/>
                <w:lang w:eastAsia="en-US"/>
              </w:rPr>
            </w:r>
          </w:p>
          <w:p>
            <w:pPr>
              <w:pStyle w:val="Normal"/>
              <w:widowControl w:val="false"/>
              <w:spacing w:lineRule="auto" w:line="360"/>
              <w:ind w:firstLine="33"/>
              <w:rPr>
                <w:b/>
                <w:sz w:val="24"/>
                <w:szCs w:val="24"/>
              </w:rPr>
            </w:pPr>
            <w:r>
              <w:rPr>
                <w:sz w:val="24"/>
                <w:szCs w:val="24"/>
                <w:lang w:eastAsia="en-US"/>
              </w:rPr>
              <w:t>__________________ /</w:t>
            </w:r>
            <w:r>
              <w:rPr>
                <w:b/>
                <w:sz w:val="24"/>
                <w:szCs w:val="24"/>
              </w:rPr>
              <w:t xml:space="preserve"> </w:t>
            </w:r>
          </w:p>
        </w:tc>
      </w:tr>
    </w:tbl>
    <w:p>
      <w:pPr>
        <w:pStyle w:val="Normal"/>
        <w:rPr>
          <w:b/>
          <w:bCs/>
          <w:sz w:val="24"/>
          <w:szCs w:val="24"/>
        </w:rPr>
      </w:pPr>
      <w:r>
        <w:rPr/>
      </w:r>
    </w:p>
    <w:sectPr>
      <w:headerReference w:type="default" r:id="rId5"/>
      <w:headerReference w:type="first" r:id="rId6"/>
      <w:footerReference w:type="default" r:id="rId7"/>
      <w:footerReference w:type="first" r:id="rId8"/>
      <w:type w:val="nextPage"/>
      <w:pgSz w:w="11906" w:h="16838"/>
      <w:pgMar w:left="1418" w:right="851" w:gutter="0" w:header="567" w:top="1134" w:footer="709" w:bottom="226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ucida Grande CY">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141"/>
        </w:tabs>
        <w:ind w:left="114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480" w:hanging="480"/>
      </w:pPr>
      <w:rPr/>
    </w:lvl>
    <w:lvl w:ilvl="1">
      <w:start w:val="2"/>
      <w:numFmt w:val="decimal"/>
      <w:lvlText w:val="%1.%2"/>
      <w:lvlJc w:val="left"/>
      <w:pPr>
        <w:tabs>
          <w:tab w:val="num" w:pos="0"/>
        </w:tabs>
        <w:ind w:left="840" w:hanging="480"/>
      </w:pPr>
      <w:rPr/>
    </w:lvl>
    <w:lvl w:ilvl="2">
      <w:start w:val="2"/>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uiPriority w:val="99"/>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0"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2"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3"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4"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5"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Default" w:customStyle="1">
    <w:name w:val="Default"/>
    <w:qFormat/>
    <w:rsid w:val="003e6e1a"/>
    <w:pPr>
      <w:widowControl/>
      <w:bidi w:val="0"/>
      <w:spacing w:before="0" w:after="0"/>
      <w:jc w:val="left"/>
    </w:pPr>
    <w:rPr>
      <w:rFonts w:eastAsia="Calibri" w:ascii="Times New Roman" w:hAnsi="Times New Roman" w:cs="Times New Roman"/>
      <w:color w:val="000000"/>
      <w:kern w:val="0"/>
      <w:sz w:val="24"/>
      <w:szCs w:val="24"/>
      <w:lang w:val="ru-RU" w:eastAsia="ru-RU" w:bidi="ar-SA"/>
    </w:rPr>
  </w:style>
  <w:style w:type="paragraph" w:styleId="12" w:customStyle="1">
    <w:name w:val="Без интервала1"/>
    <w:uiPriority w:val="1"/>
    <w:qFormat/>
    <w:rsid w:val="00140e4a"/>
    <w:pPr>
      <w:widowControl/>
      <w:suppressAutoHyphens w:val="true"/>
      <w:bidi w:val="0"/>
      <w:spacing w:before="0" w:after="0"/>
      <w:jc w:val="left"/>
    </w:pPr>
    <w:rPr>
      <w:rFonts w:ascii="Lucida Grande CY" w:hAnsi="Lucida Grande CY" w:eastAsia="Lucida Grande CY" w:cs="Times New Roman"/>
      <w:color w:val="auto"/>
      <w:kern w:val="0"/>
      <w:sz w:val="24"/>
      <w:szCs w:val="24"/>
      <w:lang w:eastAsia="ar-SA"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9F4474-FED9-4D99-B59D-BF04B5D6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AlterOffice/3.4.0.9$Linux_X86_64 LibreOffice_project/b8daf9e823b1a5463a2f48435ddc2e8696e7d4fc</Application>
  <AppVersion>15.0000</AppVersion>
  <Pages>18</Pages>
  <Words>6215</Words>
  <Characters>44004</Characters>
  <CharactersWithSpaces>50000</CharactersWithSpaces>
  <Paragraphs>270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2025-03-11T01:25:00Z</dcterms:created>
  <dc:creator>tsypilev_ag</dc:creator>
  <dc:description/>
  <dc:language>ru-RU</dc:language>
  <cp:lastModifiedBy>dvortcovaaa@corp.gidroogk.com</cp:lastModifiedBy>
  <cp:lastPrinted>2018-05-22T09:46:00Z</cp:lastPrinted>
  <dcterms:modified xsi:type="dcterms:W3CDTF">2026-06-03T10:34:22Z</dcterms:modified>
  <cp:revision>9</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