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И.о. директора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______________А.С. Рудаков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>
      <w:pPr>
        <w:pStyle w:val="Normal"/>
        <w:tabs>
          <w:tab w:val="clear" w:pos="708"/>
          <w:tab w:val="left" w:pos="1985" w:leader="none"/>
        </w:tabs>
        <w:jc w:val="right"/>
        <w:rPr>
          <w:sz w:val="24"/>
          <w:szCs w:val="24"/>
        </w:rPr>
      </w:pPr>
      <w:bookmarkStart w:id="0" w:name="_GoBack_Копия_1"/>
      <w:bookmarkEnd w:id="0"/>
      <w:r>
        <w:rPr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ОКПД 2: 86.10.19.000  «Оказание услуг по проведению электроэнцефалографического исследования головного мозга для работников»</w:t>
      </w:r>
    </w:p>
    <w:p>
      <w:pPr>
        <w:pStyle w:val="Normal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1.</w:t>
        <w:tab/>
        <w:t>Общие сведения</w:t>
      </w:r>
      <w:r>
        <w:rPr>
          <w:b w:val="false"/>
        </w:rPr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1.1.</w:t>
        <w:tab/>
        <w:t>Обозначения и сокращения</w:t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1.2.</w:t>
        <w:tab/>
        <w:t>Наименование закупаемой продукции</w:t>
        <w:tab/>
        <w:t>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1.3.  Цель оказания услуг………………………………………………………………………………5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Таблица 1. Перечень объектов заказчика</w:t>
      </w:r>
      <w:r>
        <w:rPr>
          <w:b w:val="false"/>
        </w:rPr>
        <w:tab/>
        <w:t>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2.</w:t>
        <w:tab/>
        <w:t>Требования к продукции</w:t>
      </w:r>
      <w:r>
        <w:rPr>
          <w:b w:val="false"/>
        </w:rPr>
        <w:tab/>
        <w:t>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2.1.</w:t>
        <w:tab/>
        <w:t>Требования к объемам и срокам оказания услуг</w:t>
        <w:tab/>
        <w:t>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2.1.1.</w:t>
        <w:tab/>
        <w:t>Требования к перечню и объему услуг</w:t>
        <w:tab/>
        <w:t>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Таблица 2. Перечень и объем оказываемых услуг</w:t>
      </w:r>
      <w:r>
        <w:rPr>
          <w:b w:val="false"/>
        </w:rPr>
        <w:tab/>
        <w:t>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2.1.2.</w:t>
        <w:tab/>
        <w:t>Требования к срокам оказания услуг</w:t>
        <w:tab/>
        <w:t>6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Таблица 3. Требования к срокам оказания услуг</w:t>
      </w:r>
      <w:r>
        <w:rPr>
          <w:b w:val="false"/>
        </w:rPr>
        <w:tab/>
        <w:t>6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2.2.</w:t>
        <w:tab/>
        <w:t>Требования к качеству продукции</w:t>
        <w:tab/>
        <w:t>6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/>
      </w:pPr>
      <w:r>
        <w:rPr/>
        <w:t>Таблица 4. Требования к качеству продукции</w:t>
        <w:tab/>
        <w:t>7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/>
      </w:pPr>
      <w:r>
        <w:rPr/>
        <w:t>3.</w:t>
        <w:tab/>
        <w:t>Требования к документации по ценообразованию на этапе закупки</w:t>
        <w:tab/>
        <w:t>10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4.</w:t>
        <w:tab/>
        <w:t>Требования к документации по ценообразованию на этапе заключения (исполнения) договора</w:t>
      </w:r>
      <w:r>
        <w:rPr>
          <w:b w:val="false"/>
        </w:rPr>
        <w:tab/>
        <w:t>11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4643694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5464369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НПА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России от 28.01.2021 N 29н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(в действующей редакции)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01.06.2021 №852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01.06.2021 №852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 в действующей редакции)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РФ от 26.12.2016 №997н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РФ от 26.12.2016 №997н «Об утверждении Правил проведения функциональных исследований»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4" w:name="_Toc54643696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eastAsia="Calibri"/>
          <w:b/>
          <w:bCs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2: 86.10.19.000  «Оказание услуг по проведению электроэнцефалографического исследования головного мозга для работников»</w:t>
        <w:br/>
        <w:b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x-none"/>
        </w:rPr>
        <w:t>1.3. Цель оказания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Проведение исследования электроэнцефалографии головного мозга (далее – ЭЭГ) проводится для дальнейшего осмотра комиссией врачей в рамках периодического медицинского осмотра с целью выявления противопоказаний для работников.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6" w:name="_Toc54643699"/>
      <w:bookmarkStart w:id="7" w:name="_Toc46743507_Копия_1"/>
      <w:bookmarkEnd w:id="7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38"/>
        <w:gridCol w:w="2150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Исследования электроэнцефалографии головного мозга работников Камчатского филиала АО «ТК РусГидро»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г. Петропавловск-Камчатский Камчатского края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rPr/>
      </w:pPr>
      <w:r>
        <w:rPr/>
      </w:r>
      <w:bookmarkStart w:id="8" w:name="_Toc50125126"/>
      <w:bookmarkStart w:id="9" w:name="_Toc50125126"/>
      <w:bookmarkEnd w:id="9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51339693"/>
      <w:bookmarkStart w:id="11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ind w:left="0" w:hanging="0"/>
        <w:rPr/>
      </w:pPr>
      <w:bookmarkStart w:id="12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Toc54643704"/>
      <w:r>
        <w:rPr>
          <w:lang w:val="ru-RU"/>
        </w:rPr>
        <w:t>Требования к перечню и объему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54643705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оказываемых услуг</w:t>
      </w:r>
      <w:bookmarkEnd w:id="14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Проведение исследования электроэнцефалографии головного мозга работников согласно Приказа Минздрава России от 28.01.2021 N 29н.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  <w:t>Оформление и выдача клинико-электроэнцефалографического заключения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709" w:hanging="709"/>
        <w:rPr>
          <w:lang w:val="ru-RU"/>
        </w:rPr>
      </w:pPr>
      <w:bookmarkStart w:id="16" w:name="_Toc54643706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оказания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54643707"/>
      <w:bookmarkStart w:id="19" w:name="_Toc51339697"/>
      <w:bookmarkStart w:id="20" w:name="_Toc5012512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оказания услуг</w:t>
      </w:r>
      <w:bookmarkEnd w:id="18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2546"/>
        <w:gridCol w:w="2987"/>
        <w:gridCol w:w="3108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Проведение исследования электроэнцефалографии головного мозга работников согласно Приказа Минздрава России от 28.01.2021 N 29н.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15.1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.2026 года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  <w:t>Оформление и выдача клинико-электроэнцефалографического заключения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15.12.2026 года</w:t>
            </w:r>
            <w:r>
              <w:rPr>
                <w:sz w:val="24"/>
                <w:szCs w:val="24"/>
                <w:lang w:val="en-US"/>
              </w:rPr>
              <w:t>Приказ Минздрава РФ от 26.12.2016 №997н «Об утверждении Правил проведения функциональных исследований»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4643709"/>
      <w:bookmarkStart w:id="25" w:name="_Toc51339698"/>
      <w:bookmarkStart w:id="26" w:name="_Toc54643708"/>
      <w:bookmarkStart w:id="27" w:name="_Toc46743511"/>
      <w:r>
        <w:rPr/>
        <w:t xml:space="preserve">Требования к </w:t>
      </w:r>
      <w:bookmarkEnd w:id="27"/>
      <w:r>
        <w:rPr>
          <w:lang w:val="ru-RU"/>
        </w:rPr>
        <w:t xml:space="preserve">качеству </w:t>
      </w:r>
      <w:bookmarkEnd w:id="26"/>
      <w:r>
        <w:rPr>
          <w:lang w:val="ru-RU"/>
        </w:rPr>
        <w:t>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5"/>
      <w:r>
        <w:rPr>
          <w:sz w:val="24"/>
          <w:szCs w:val="24"/>
          <w:lang w:val="ru-RU"/>
        </w:rPr>
        <w:t xml:space="preserve">качеству </w:t>
      </w:r>
      <w:bookmarkEnd w:id="24"/>
      <w:r>
        <w:rPr>
          <w:sz w:val="24"/>
          <w:szCs w:val="24"/>
          <w:lang w:val="ru-RU"/>
        </w:rPr>
        <w:t>продукции</w:t>
      </w:r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2):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Проведение исследования электроэнцефалографии головного мозга работников согласно Приказа Минздрава России от 28.01.2021 N 29н.</w:t>
      </w:r>
    </w:p>
    <w:tbl>
      <w:tblPr>
        <w:tblStyle w:val="affff8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2"/>
        <w:gridCol w:w="2780"/>
        <w:gridCol w:w="3549"/>
        <w:gridCol w:w="2504"/>
        <w:gridCol w:w="2762"/>
        <w:gridCol w:w="2671"/>
      </w:tblGrid>
      <w:tr>
        <w:trPr>
          <w:trHeight w:val="143" w:hRule="atLeast"/>
        </w:trPr>
        <w:tc>
          <w:tcPr>
            <w:tcW w:w="10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2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143" w:hRule="atLeast"/>
        </w:trPr>
        <w:tc>
          <w:tcPr>
            <w:tcW w:w="10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504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Проведение исследования электроэнцефалографии головного мозга работников согласно Приказа Минздрава России от 28.01.2021 N 29н.</w:t>
            </w:r>
          </w:p>
        </w:tc>
        <w:tc>
          <w:tcPr>
            <w:tcW w:w="354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Приказ Минздрава России от 28.01.2021 N 29н;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РФ от 26.12.2016 №997н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27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  <w:t>Оформление и выдача клинико-электроэнцефалографического заключения</w:t>
            </w:r>
          </w:p>
        </w:tc>
        <w:tc>
          <w:tcPr>
            <w:tcW w:w="354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Приказ Минздрава России от 28.01.2021 N 29н;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РФ от 26.12.2016 №997н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действующей лицензии на осуществление следующего вида медицинской деятельности: «Работы (услуги) по медицинским осмотрам (периодическим)» </w:t>
            </w:r>
          </w:p>
        </w:tc>
        <w:tc>
          <w:tcPr>
            <w:tcW w:w="354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имеющее действующую и не приостановленную лицензию на осуществление следующего вида медицинской деятельности: «Функциональная диагностика»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лицензии на осуществление следующего вида медицинской деятельности: «Функциональная диагностика» (Постановление Правительства РФ от 01.06.2021 №852).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Проведение исследования электроэнцефалографии головного мозга работников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на территории г. Петропавловска-Камчатского, Камчатского края.</w:t>
            </w:r>
          </w:p>
        </w:tc>
        <w:tc>
          <w:tcPr>
            <w:tcW w:w="354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 и нахождения большой части рабочих мест или проживания работников Заказчика, Исполнитель должен осуществлять деятельность на территории г. Петропавловска-Камчатского, Камчатского края.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выписки из ЕГРЮЛ.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услуг.</w:t>
            </w:r>
          </w:p>
        </w:tc>
        <w:tc>
          <w:tcPr>
            <w:tcW w:w="354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должны оказываться подрядчиком 5 дней в неделю, кроме субботы и воскресенья с 9.00 часов до 17.00 часов, без учета времени на перерыв или обед.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54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оплату услуг специалистов, оформления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54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стоимость используемых медицинских изделий.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Медицинская сестра любой квалификационной категории, прошедшая базовую теоретическую и практическую подготовку по регистрации ЭЭГ и регулярно повышающая квалификацию (если это входит в её должностные обязанности) или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Врач, в профессиональный стандарт которого включена регистрация ЭЭГ. 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следующими кадровыми ресурсами: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567" w:leader="none"/>
                <w:tab w:val="left" w:pos="1134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не менее 1 (одного) врача или 1 (одной) медицинской сестры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провести исследования электроэнцефалографии головного мозга работников Камчатского филиала АО «ТК РусГидро» согласно Приказа Минздрава России от 28.01.2021 N 29н, в количестве 61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чело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век, оформление и выдача клинико-электроэнцефалографического заключения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 на каждого работника Камчатского филиала АО «ТК РусГидро».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98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7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70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акта об оказании услуг.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составления всей документации указанной в п.2.1.1. исполнитель передает Акт выполненных работ вместе с пакетом документов п.2.1.1.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98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01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35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оказанных услуг, счет, клинико-электроэнцефалографические заключения по результатам исследования на каждого работника.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0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6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документов: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должно осуществляется в  соответствии с Приказом Минздрава России от 28.01.2021 N 29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69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7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---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15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Lines/>
        <w:numPr>
          <w:ilvl w:val="0"/>
          <w:numId w:val="3"/>
        </w:numPr>
        <w:ind w:left="340"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bookmarkStart w:id="29" w:name="_Toc54643710"/>
      <w:bookmarkStart w:id="30" w:name="_Toc53393312"/>
      <w:bookmarkStart w:id="31" w:name="_Toc53395937"/>
      <w:r>
        <w:rPr>
          <w:b/>
          <w:bCs/>
          <w:sz w:val="24"/>
          <w:szCs w:val="24"/>
        </w:rPr>
        <w:t>Требования к документации по ценообразованию</w:t>
      </w:r>
      <w:bookmarkEnd w:id="30"/>
      <w:bookmarkEnd w:id="31"/>
      <w:r>
        <w:rPr>
          <w:b/>
          <w:bCs/>
          <w:sz w:val="24"/>
          <w:szCs w:val="24"/>
        </w:rPr>
        <w:t xml:space="preserve"> на этапе закупки</w:t>
      </w:r>
      <w:bookmarkEnd w:id="29"/>
    </w:p>
    <w:p>
      <w:pPr>
        <w:pStyle w:val="Normal"/>
        <w:suppressAutoHyphens w:val="false"/>
        <w:spacing w:before="60" w:after="0"/>
        <w:ind w:left="360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sz w:val="24"/>
          <w:szCs w:val="24"/>
        </w:rPr>
        <w:t xml:space="preserve">3.1. </w:t>
      </w: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ind w:left="432" w:hanging="0"/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  <w:t xml:space="preserve">3.2. </w:t>
      </w:r>
      <w:bookmarkStart w:id="32" w:name="_Toc54281228"/>
      <w:bookmarkStart w:id="33" w:name="_Toc54643711"/>
      <w:r>
        <w:rPr>
          <w:rFonts w:eastAsia="Times New Roman"/>
          <w:iCs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32"/>
      <w:bookmarkEnd w:id="33"/>
    </w:p>
    <w:p>
      <w:pPr>
        <w:pStyle w:val="Normal"/>
        <w:suppressAutoHyphens w:val="false"/>
        <w:spacing w:before="60" w:after="0"/>
        <w:ind w:left="432" w:hanging="0"/>
        <w:jc w:val="both"/>
        <w:rPr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Участника не включаются.</w:t>
      </w:r>
    </w:p>
    <w:p>
      <w:pPr>
        <w:pStyle w:val="ListParagraph"/>
        <w:ind w:left="432" w:hanging="0"/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</w:r>
    </w:p>
    <w:p>
      <w:pPr>
        <w:pStyle w:val="Normal"/>
        <w:suppressAutoHyphens w:val="false"/>
        <w:spacing w:before="60" w:after="0"/>
        <w:ind w:left="720" w:hanging="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ind w:left="360" w:hanging="0"/>
        <w:jc w:val="both"/>
        <w:rPr>
          <w:b/>
          <w:bCs/>
          <w:iCs/>
          <w:sz w:val="24"/>
          <w:szCs w:val="24"/>
          <w:lang w:val="x-none" w:eastAsia="x-none"/>
        </w:rPr>
      </w:pPr>
      <w:r>
        <w:rPr>
          <w:b/>
          <w:bCs/>
          <w:iCs/>
          <w:sz w:val="24"/>
          <w:szCs w:val="24"/>
          <w:lang w:eastAsia="x-none"/>
        </w:rPr>
        <w:t xml:space="preserve">4. Требования к документации по ценообразованию на этапе заключения (исполнения) договора. </w:t>
      </w:r>
      <w:bookmarkStart w:id="34" w:name="_GoBack_Копия_2"/>
      <w:bookmarkEnd w:id="34"/>
    </w:p>
    <w:p>
      <w:pPr>
        <w:pStyle w:val="Normal"/>
        <w:suppressAutoHyphens w:val="false"/>
        <w:spacing w:before="0" w:after="120"/>
        <w:ind w:left="360" w:hanging="0"/>
        <w:jc w:val="both"/>
        <w:rPr>
          <w:bCs/>
          <w:iCs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Normal"/>
        <w:rPr>
          <w:sz w:val="26"/>
          <w:szCs w:val="26"/>
          <w:lang w:val="x-none"/>
        </w:rPr>
      </w:pPr>
      <w:r>
        <w:rPr>
          <w:sz w:val="26"/>
          <w:szCs w:val="26"/>
          <w:lang w:val="x-none"/>
        </w:rPr>
      </w:r>
    </w:p>
    <w:p>
      <w:pPr>
        <w:pStyle w:val="Normal"/>
        <w:rPr>
          <w:sz w:val="26"/>
          <w:szCs w:val="26"/>
          <w:lang w:val="x-none"/>
        </w:rPr>
      </w:pPr>
      <w:r>
        <w:rPr>
          <w:sz w:val="26"/>
          <w:szCs w:val="26"/>
          <w:lang w:val="x-none"/>
        </w:rPr>
      </w:r>
    </w:p>
    <w:p>
      <w:pPr>
        <w:pStyle w:val="ListParagraph"/>
        <w:ind w:left="5038" w:hanging="503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Руководитель ГОТиТБ </w:t>
      </w:r>
    </w:p>
    <w:p>
      <w:pPr>
        <w:pStyle w:val="Normal"/>
        <w:rPr>
          <w:sz w:val="24"/>
          <w:szCs w:val="24"/>
        </w:rPr>
      </w:pPr>
      <w:r>
        <w:rPr>
          <w:rStyle w:val="Style8"/>
          <w:b w:val="false"/>
          <w:bCs/>
          <w:i w:val="false"/>
          <w:iCs/>
          <w:sz w:val="24"/>
          <w:szCs w:val="24"/>
          <w:shd w:fill="auto" w:val="clear"/>
          <w:lang w:val="x-none" w:eastAsia="x-none"/>
        </w:rPr>
        <w:t>Камчатского филиала АО "ТК РусГидро"                                                                     Е.А. Грицких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4571B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4571B4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21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0f211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0f211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0f211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0f211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0f211d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0f211d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0f211d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0f211d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0f211d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0f211d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0f211d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0f211d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0f211d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0f211d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f211d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0f211d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0f211d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0f211d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0f211d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f211d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0f211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" w:customStyle="1">
    <w:name w:val="caption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0f211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0f211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0f211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0f211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0f211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0f211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0f211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0f21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0f211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0f211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0f211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0f211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0f211d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0f211d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0f211d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0f211d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0f211d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0f211d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0f211d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0f211d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0f211d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0f211d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0f211d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0f211d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0f211d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0f211d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7CF4-4E7D-401B-9E7E-5FE5A00F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Application>AlterOffice/3.4.0.9$Linux_X86_64 LibreOffice_project/b8daf9e823b1a5463a2f48435ddc2e8696e7d4fc</Application>
  <AppVersion>15.0000</AppVersion>
  <Pages>10</Pages>
  <Words>1321</Words>
  <Characters>9331</Characters>
  <CharactersWithSpaces>10530</CharactersWithSpaces>
  <Paragraphs>222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2024-04-15T05:35:00Z</dcterms:created>
  <dc:creator>Быстров Олег Геннадьевич</dc:creator>
  <dc:description/>
  <dc:language>ru-RU</dc:language>
  <cp:lastModifiedBy>gritskikhea@corp.gidroogk.com</cp:lastModifiedBy>
  <cp:lastPrinted>2026-03-26T08:45:00Z</cp:lastPrinted>
  <dcterms:modified xsi:type="dcterms:W3CDTF">2026-06-03T16:57:43Z</dcterms:modified>
  <cp:revision>54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