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ОКПД2</w:t>
      </w:r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92" w:rsidRPr="00FF6C92">
        <w:rPr>
          <w:rFonts w:ascii="Times New Roman" w:hAnsi="Times New Roman" w:cs="Times New Roman"/>
          <w:b/>
          <w:sz w:val="28"/>
          <w:szCs w:val="28"/>
        </w:rPr>
        <w:t>26.51.66.190</w:t>
      </w:r>
      <w:r w:rsidR="009171EE" w:rsidRPr="0091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FF6C92">
        <w:rPr>
          <w:rFonts w:ascii="Times New Roman" w:hAnsi="Times New Roman" w:cs="Times New Roman"/>
          <w:b/>
          <w:sz w:val="28"/>
          <w:szCs w:val="28"/>
        </w:rPr>
        <w:t>установки для определения характеристик пор</w:t>
      </w:r>
      <w:r w:rsidR="00BE2F05" w:rsidRPr="00BE2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5F798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4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4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FF6C92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FF6C92">
        <w:rPr>
          <w:rFonts w:ascii="Times New Roman" w:eastAsia="Calibri" w:hAnsi="Times New Roman" w:cs="Times New Roman"/>
          <w:sz w:val="24"/>
          <w:szCs w:val="24"/>
        </w:rPr>
        <w:t>становк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F6C92">
        <w:rPr>
          <w:rFonts w:ascii="Times New Roman" w:eastAsia="Calibri" w:hAnsi="Times New Roman" w:cs="Times New Roman"/>
          <w:sz w:val="24"/>
          <w:szCs w:val="24"/>
        </w:rPr>
        <w:t xml:space="preserve"> для определения характеристик пор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9171EE" w:rsidRDefault="00CE5931" w:rsidP="009171E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6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 w:rsidR="00FF6C92" w:rsidRPr="00FF6C92">
        <w:rPr>
          <w:rFonts w:ascii="Times New Roman" w:eastAsia="Calibri" w:hAnsi="Times New Roman" w:cs="Times New Roman"/>
          <w:sz w:val="24"/>
          <w:szCs w:val="24"/>
        </w:rPr>
        <w:t xml:space="preserve"> лабораторного определения характеристик пор геотекстильных и геотекстилеподобных материалов, применяемых в строительстве и в других целях в качестве фильтров</w:t>
      </w:r>
      <w:r w:rsidRPr="009171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FF6C92" w:rsidP="007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для определения характеристик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 по </w:t>
            </w:r>
            <w:r w:rsidRPr="00FF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53238-2008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9" w:type="dxa"/>
          </w:tcPr>
          <w:p w:rsidR="00B55A98" w:rsidRDefault="00FF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FF6C92" w:rsidP="007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определения характеристик пор по ГОСТ Р 53238-2008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9171EE" w:rsidP="00FF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FF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двадцать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FF6C92" w:rsidRPr="00FF6C9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Установка для определения характеристик пор по ГОСТ Р 53238-2008</w:t>
      </w:r>
    </w:p>
    <w:tbl>
      <w:tblPr>
        <w:tblStyle w:val="25"/>
        <w:tblW w:w="8879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1599"/>
        <w:gridCol w:w="4659"/>
      </w:tblGrid>
      <w:tr w:rsidR="009A1399" w:rsidTr="009A1399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9A1399" w:rsidRDefault="009A13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69" w:type="dxa"/>
            <w:gridSpan w:val="2"/>
            <w:vMerge w:val="restart"/>
            <w:vAlign w:val="center"/>
          </w:tcPr>
          <w:p w:rsidR="009A1399" w:rsidRDefault="009A13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59" w:type="dxa"/>
            <w:vMerge w:val="restart"/>
            <w:vAlign w:val="center"/>
          </w:tcPr>
          <w:p w:rsidR="009A1399" w:rsidRDefault="009A1399" w:rsidP="007C7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9A1399" w:rsidTr="009A1399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9" w:type="dxa"/>
            <w:vMerge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59" w:type="dxa"/>
            <w:vAlign w:val="center"/>
          </w:tcPr>
          <w:p w:rsidR="009A1399" w:rsidRDefault="009A13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A1399" w:rsidRDefault="009A1399" w:rsidP="00FF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площадки просеивания, мм</w:t>
            </w:r>
          </w:p>
        </w:tc>
        <w:tc>
          <w:tcPr>
            <w:tcW w:w="4659" w:type="dxa"/>
            <w:shd w:val="clear" w:color="auto" w:fill="auto"/>
          </w:tcPr>
          <w:p w:rsidR="009A1399" w:rsidRDefault="009A1399" w:rsidP="00FF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130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3369" w:type="dxa"/>
            <w:gridSpan w:val="2"/>
            <w:shd w:val="clear" w:color="auto" w:fill="auto"/>
          </w:tcPr>
          <w:p w:rsidR="009A1399" w:rsidRDefault="009A1399" w:rsidP="00E54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вибрации площадки просеивания, Гц</w:t>
            </w:r>
          </w:p>
        </w:tc>
        <w:tc>
          <w:tcPr>
            <w:tcW w:w="4659" w:type="dxa"/>
            <w:shd w:val="clear" w:color="auto" w:fill="auto"/>
          </w:tcPr>
          <w:p w:rsidR="009A1399" w:rsidRDefault="009A1399" w:rsidP="00FF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и не более 60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A1399" w:rsidRPr="00E54D79" w:rsidRDefault="009A1399" w:rsidP="0086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Амплитуда вибрации (по вертикали), мм</w:t>
            </w:r>
          </w:p>
        </w:tc>
        <w:tc>
          <w:tcPr>
            <w:tcW w:w="4659" w:type="dxa"/>
            <w:shd w:val="clear" w:color="auto" w:fill="auto"/>
          </w:tcPr>
          <w:p w:rsidR="009A1399" w:rsidRDefault="009A1399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A1399" w:rsidRPr="00581E4D" w:rsidRDefault="009A1399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регулировки расхода воды через распылитель, л/мин</w:t>
            </w:r>
          </w:p>
        </w:tc>
        <w:tc>
          <w:tcPr>
            <w:tcW w:w="4659" w:type="dxa"/>
            <w:shd w:val="clear" w:color="auto" w:fill="auto"/>
          </w:tcPr>
          <w:p w:rsidR="009A1399" w:rsidRDefault="009A1399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 до 1 включительно 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A1399" w:rsidRDefault="009A1399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 бака под воду, л</w:t>
            </w:r>
          </w:p>
        </w:tc>
        <w:tc>
          <w:tcPr>
            <w:tcW w:w="4659" w:type="dxa"/>
            <w:shd w:val="clear" w:color="auto" w:fill="auto"/>
          </w:tcPr>
          <w:p w:rsidR="009A1399" w:rsidRDefault="009A1399" w:rsidP="0065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 15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</w:tcPr>
          <w:p w:rsidR="009A1399" w:rsidRDefault="009A1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A1399" w:rsidRPr="0044103E" w:rsidRDefault="009A1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размеры (ШхГхВ), мм</w:t>
            </w:r>
          </w:p>
        </w:tc>
        <w:tc>
          <w:tcPr>
            <w:tcW w:w="6258" w:type="dxa"/>
            <w:gridSpan w:val="2"/>
          </w:tcPr>
          <w:p w:rsidR="009A1399" w:rsidRPr="001F0C4E" w:rsidRDefault="009A1399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750х500х500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 °</w:t>
            </w:r>
            <w:r w:rsidRPr="003F6159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659" w:type="dxa"/>
            <w:vAlign w:val="center"/>
          </w:tcPr>
          <w:p w:rsidR="009A1399" w:rsidRDefault="009A1399" w:rsidP="00653A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+15 до +35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 маркировке, упаковке, транспортировке, </w:t>
            </w:r>
            <w:r>
              <w:rPr>
                <w:b/>
                <w:bCs/>
                <w:sz w:val="24"/>
                <w:szCs w:val="24"/>
              </w:rPr>
              <w:lastRenderedPageBreak/>
              <w:t>перемещению, условиям хранения, приемке и испытаниям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59" w:type="dxa"/>
          </w:tcPr>
          <w:p w:rsidR="009A1399" w:rsidRDefault="009A1399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A1399" w:rsidRDefault="009A1399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  <w:vAlign w:val="center"/>
          </w:tcPr>
          <w:p w:rsidR="009A1399" w:rsidRDefault="009A1399" w:rsidP="00860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9A1399" w:rsidRDefault="009A1399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9A1399" w:rsidTr="009A1399">
        <w:trPr>
          <w:jc w:val="center"/>
        </w:trPr>
        <w:tc>
          <w:tcPr>
            <w:tcW w:w="851" w:type="dxa"/>
            <w:vAlign w:val="center"/>
          </w:tcPr>
          <w:p w:rsidR="009A1399" w:rsidRDefault="009A1399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Align w:val="center"/>
          </w:tcPr>
          <w:p w:rsidR="009A1399" w:rsidRDefault="009A1399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59" w:type="dxa"/>
          </w:tcPr>
          <w:p w:rsidR="009A1399" w:rsidRDefault="009A1399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 w:rsidP="009A1399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49" w:rsidRDefault="00C91A49">
      <w:pPr>
        <w:spacing w:after="0" w:line="240" w:lineRule="auto"/>
      </w:pPr>
      <w:r>
        <w:separator/>
      </w:r>
    </w:p>
  </w:endnote>
  <w:endnote w:type="continuationSeparator" w:id="0">
    <w:p w:rsidR="00C91A49" w:rsidRDefault="00C9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399">
          <w:rPr>
            <w:noProof/>
          </w:rPr>
          <w:t>7</w:t>
        </w:r>
        <w:r>
          <w:fldChar w:fldCharType="end"/>
        </w:r>
      </w:p>
    </w:sdtContent>
  </w:sdt>
  <w:p w:rsidR="00BE2F05" w:rsidRDefault="00BE2F05">
    <w:pPr>
      <w:pStyle w:val="af2"/>
    </w:pPr>
  </w:p>
  <w:p w:rsidR="00BE2F05" w:rsidRDefault="00BE2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49" w:rsidRDefault="00C91A49">
      <w:pPr>
        <w:spacing w:after="0" w:line="240" w:lineRule="auto"/>
      </w:pPr>
      <w:r>
        <w:separator/>
      </w:r>
    </w:p>
  </w:footnote>
  <w:footnote w:type="continuationSeparator" w:id="0">
    <w:p w:rsidR="00C91A49" w:rsidRDefault="00C91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B5DE0"/>
    <w:rsid w:val="000F6219"/>
    <w:rsid w:val="001D166D"/>
    <w:rsid w:val="001F0C4E"/>
    <w:rsid w:val="00237E25"/>
    <w:rsid w:val="002833EA"/>
    <w:rsid w:val="002D6423"/>
    <w:rsid w:val="002E551C"/>
    <w:rsid w:val="00337B38"/>
    <w:rsid w:val="0034315B"/>
    <w:rsid w:val="003E3E94"/>
    <w:rsid w:val="003F6159"/>
    <w:rsid w:val="00402088"/>
    <w:rsid w:val="0042017C"/>
    <w:rsid w:val="0044103E"/>
    <w:rsid w:val="004E470C"/>
    <w:rsid w:val="00510BD5"/>
    <w:rsid w:val="00581E4D"/>
    <w:rsid w:val="005D04AB"/>
    <w:rsid w:val="005F7981"/>
    <w:rsid w:val="006523D9"/>
    <w:rsid w:val="00653AB3"/>
    <w:rsid w:val="0065746B"/>
    <w:rsid w:val="006668D6"/>
    <w:rsid w:val="00667E71"/>
    <w:rsid w:val="007650D5"/>
    <w:rsid w:val="007C73B9"/>
    <w:rsid w:val="00815188"/>
    <w:rsid w:val="008603E3"/>
    <w:rsid w:val="008733ED"/>
    <w:rsid w:val="008A5B0C"/>
    <w:rsid w:val="008B224C"/>
    <w:rsid w:val="008E520A"/>
    <w:rsid w:val="009171EE"/>
    <w:rsid w:val="00967F48"/>
    <w:rsid w:val="00976D65"/>
    <w:rsid w:val="00977331"/>
    <w:rsid w:val="009A1399"/>
    <w:rsid w:val="00A04CFE"/>
    <w:rsid w:val="00A106F6"/>
    <w:rsid w:val="00B25E9B"/>
    <w:rsid w:val="00B55A98"/>
    <w:rsid w:val="00B67E92"/>
    <w:rsid w:val="00BC5EAA"/>
    <w:rsid w:val="00BE2F05"/>
    <w:rsid w:val="00C05263"/>
    <w:rsid w:val="00C52FD2"/>
    <w:rsid w:val="00C65E24"/>
    <w:rsid w:val="00C91A49"/>
    <w:rsid w:val="00C925DE"/>
    <w:rsid w:val="00CD21C3"/>
    <w:rsid w:val="00CE5931"/>
    <w:rsid w:val="00DD1929"/>
    <w:rsid w:val="00DE16C3"/>
    <w:rsid w:val="00DF4933"/>
    <w:rsid w:val="00E032D1"/>
    <w:rsid w:val="00E17CBA"/>
    <w:rsid w:val="00E4765B"/>
    <w:rsid w:val="00E54D79"/>
    <w:rsid w:val="00E73221"/>
    <w:rsid w:val="00ED0EFC"/>
    <w:rsid w:val="00F32012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B5D0-AED6-460F-BC63-1E94BEAC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2024-12-16T13:18:00Z</cp:lastPrinted>
  <dcterms:created xsi:type="dcterms:W3CDTF">2026-05-27T11:48:00Z</dcterms:created>
  <dcterms:modified xsi:type="dcterms:W3CDTF">2026-05-27T11:48:00Z</dcterms:modified>
</cp:coreProperties>
</file>