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Приложение №1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к документации по запросу предложений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в электронной форме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Лот 50</w:t>
      </w:r>
      <w:r>
        <w:rPr>
          <w:b w:val="false"/>
          <w:bCs w:val="false"/>
          <w:sz w:val="24"/>
          <w:szCs w:val="24"/>
          <w:lang w:eastAsia="en-US"/>
        </w:rPr>
        <w:t>40</w:t>
      </w:r>
      <w:r>
        <w:rPr>
          <w:b w:val="false"/>
          <w:bCs w:val="false"/>
          <w:sz w:val="24"/>
          <w:szCs w:val="24"/>
          <w:lang w:eastAsia="en-US"/>
        </w:rPr>
        <w:t>-</w:t>
      </w:r>
      <w:r>
        <w:rPr>
          <w:b w:val="false"/>
          <w:bCs w:val="false"/>
          <w:sz w:val="24"/>
          <w:szCs w:val="24"/>
          <w:lang w:eastAsia="en-US"/>
        </w:rPr>
        <w:t>АХР ДОР</w:t>
      </w:r>
      <w:r>
        <w:rPr>
          <w:b w:val="false"/>
          <w:bCs w:val="false"/>
          <w:sz w:val="24"/>
          <w:szCs w:val="24"/>
          <w:lang w:eastAsia="en-US"/>
        </w:rPr>
        <w:t>-2027-ТК-ПриволФ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</w:rPr>
        <w:t>ОКПД2 77.39.19.120 Аренда гаражного оборудования для нужд Воткинского транспортного участка Приволжского филиала АО «ТК РусГидро»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Лот 5040-АХР ДОР-2027-ТК-ПриволФ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b w:val="false"/>
          <w:bCs w:val="false"/>
          <w:sz w:val="24"/>
          <w:szCs w:val="24"/>
        </w:rPr>
      </w:pPr>
      <w:r>
        <w:rPr>
          <w:b/>
          <w:sz w:val="24"/>
          <w:szCs w:val="24"/>
        </w:rPr>
        <w:t>1. Общие сведения …………………………………………………………………………………...3</w:t>
      </w:r>
    </w:p>
    <w:p>
      <w:pPr>
        <w:pStyle w:val="Normal"/>
        <w:numPr>
          <w:ilvl w:val="0"/>
          <w:numId w:val="0"/>
        </w:numPr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1.1. Наименование закупаемой продукции                                                                                          3</w:t>
      </w:r>
    </w:p>
    <w:p>
      <w:pPr>
        <w:pStyle w:val="Normal"/>
        <w:numPr>
          <w:ilvl w:val="0"/>
          <w:numId w:val="0"/>
        </w:numPr>
        <w:ind w:left="0" w:right="0" w:hanging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Цели оказания услуг                                                                                                                        3                                                                                                                     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………………………………………………………..3</w:t>
      </w:r>
    </w:p>
    <w:p>
      <w:pPr>
        <w:pStyle w:val="Normal"/>
        <w:numPr>
          <w:ilvl w:val="0"/>
          <w:numId w:val="0"/>
        </w:numPr>
        <w:ind w:left="0" w:righ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2. Требования к продукции …………………………………………………………………..…….3</w:t>
      </w:r>
    </w:p>
    <w:p>
      <w:pPr>
        <w:pStyle w:val="Normal"/>
        <w:rPr>
          <w:bCs/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            3</w:t>
      </w:r>
    </w:p>
    <w:p>
      <w:pPr>
        <w:pStyle w:val="Normal"/>
        <w:rPr>
          <w:b/>
          <w:sz w:val="24"/>
          <w:szCs w:val="24"/>
          <w:lang w:val="ru-RU"/>
        </w:rPr>
      </w:pPr>
      <w:r>
        <w:rPr>
          <w:bCs/>
          <w:sz w:val="24"/>
          <w:szCs w:val="24"/>
        </w:rPr>
        <w:t>2.1.1.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            3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Таблица </w:t>
      </w:r>
      <w:r>
        <w:rPr>
          <w:b/>
          <w:sz w:val="24"/>
          <w:szCs w:val="24"/>
        </w:rPr>
        <w:t>2.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Перечень и объем оказываемых услуг ……………………………………………...3</w:t>
      </w:r>
    </w:p>
    <w:p>
      <w:pPr>
        <w:pStyle w:val="Normal"/>
        <w:rPr>
          <w:b/>
          <w:sz w:val="24"/>
          <w:szCs w:val="24"/>
          <w:lang w:val="ru-RU"/>
        </w:rPr>
      </w:pPr>
      <w:r>
        <w:rPr>
          <w:sz w:val="24"/>
          <w:szCs w:val="24"/>
        </w:rPr>
        <w:t>2.1.2. Требования к срокам оказания услуг                                                                                         3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Таблица 3. Требования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  <w:lang w:val="ru-RU"/>
        </w:rPr>
        <w:t xml:space="preserve"> срокам </w:t>
      </w:r>
      <w:r>
        <w:rPr>
          <w:b/>
          <w:sz w:val="24"/>
          <w:szCs w:val="24"/>
        </w:rPr>
        <w:t>оказания услуг………………………………………………..3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>2.2 Требование к качеству продукции                                                                                                 4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 Требование к качеству продукции   ……………………………………………….. 4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eastAsia="Calibri"/>
          <w:b/>
          <w:bCs/>
          <w:sz w:val="24"/>
          <w:szCs w:val="24"/>
        </w:rPr>
      </w:pPr>
      <w:r>
        <w:rPr>
          <w:b/>
          <w:sz w:val="24"/>
          <w:szCs w:val="24"/>
        </w:rPr>
        <w:t>3. Требования к документации по ценообразованию на этапе закупки ……………………..</w:t>
      </w:r>
      <w:r>
        <w:rPr>
          <w:rFonts w:eastAsia="Calibri"/>
          <w:b/>
          <w:bCs/>
          <w:sz w:val="24"/>
          <w:szCs w:val="24"/>
        </w:rPr>
        <w:t>5</w:t>
      </w:r>
    </w:p>
    <w:p>
      <w:pPr>
        <w:pStyle w:val="Normal"/>
        <w:numPr>
          <w:ilvl w:val="0"/>
          <w:numId w:val="0"/>
        </w:numPr>
        <w:ind w:left="0" w:right="0" w:hanging="0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документации по ценообразованию на этапе заключения (исполнения) договора……………………………………………………………………………………………….5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038" w:right="0" w:hanging="360"/>
        <w:jc w:val="left"/>
        <w:rPr>
          <w:b/>
          <w:bCs/>
        </w:rPr>
      </w:pPr>
      <w:bookmarkStart w:id="2" w:name="__RefHeading___Toc4598_698840893"/>
      <w:bookmarkStart w:id="3" w:name="_Toc157094377"/>
      <w:bookmarkEnd w:id="2"/>
      <w:r>
        <w:rPr>
          <w:b/>
          <w:bCs/>
        </w:rPr>
        <w:t>Общие сведения</w:t>
      </w:r>
      <w:bookmarkEnd w:id="3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0" w:right="0" w:hanging="0"/>
        <w:rPr>
          <w:b/>
          <w:bCs/>
        </w:rPr>
      </w:pPr>
      <w:bookmarkStart w:id="4" w:name="__RefHeading___Toc4602_698840893"/>
      <w:bookmarkEnd w:id="4"/>
      <w:r>
        <w:rPr>
          <w:b/>
          <w:bCs/>
        </w:rPr>
        <w:t>1.1.</w:t>
        <w:tab/>
      </w:r>
      <w:bookmarkStart w:id="5" w:name="_Toc157094379"/>
      <w:bookmarkStart w:id="6" w:name="_Toc46743506"/>
      <w:r>
        <w:rPr>
          <w:b/>
          <w:bCs/>
        </w:rPr>
        <w:t>Наименование закупаем</w:t>
      </w:r>
      <w:bookmarkEnd w:id="6"/>
      <w:r>
        <w:rPr>
          <w:b/>
          <w:bCs/>
          <w:lang w:val="ru-RU"/>
        </w:rPr>
        <w:t>ых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>ОКПД 2 77.39.19.120 Аренда гаражного оборудования для нужд Воткинского транспортного участка Приволжского филиала АО «ТК РусГидро»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bCs/>
        </w:rPr>
      </w:pPr>
      <w:r>
        <w:rPr>
          <w:b/>
          <w:bCs/>
          <w:sz w:val="24"/>
          <w:szCs w:val="24"/>
          <w:lang w:val="x-none" w:eastAsia="x-none"/>
        </w:rPr>
        <w:t xml:space="preserve">1.2. </w:t>
        <w:tab/>
        <w:tab/>
      </w:r>
      <w:bookmarkStart w:id="7" w:name="_Toc190946763"/>
      <w:r>
        <w:rPr>
          <w:b/>
          <w:bCs/>
          <w:sz w:val="24"/>
          <w:szCs w:val="24"/>
          <w:lang w:val="x-none" w:eastAsia="x-none"/>
        </w:rPr>
        <w:t xml:space="preserve">Цель </w:t>
      </w:r>
      <w:r>
        <w:rPr>
          <w:b/>
          <w:bCs/>
          <w:sz w:val="26"/>
          <w:szCs w:val="26"/>
          <w:lang w:val="x-none" w:eastAsia="x-none"/>
        </w:rPr>
        <w:t>оказания</w:t>
      </w:r>
      <w:r>
        <w:rPr>
          <w:b/>
          <w:bCs/>
          <w:sz w:val="24"/>
          <w:szCs w:val="24"/>
          <w:lang w:val="x-none" w:eastAsia="x-none"/>
        </w:rPr>
        <w:t xml:space="preserve"> услуг</w:t>
      </w:r>
      <w:bookmarkEnd w:id="7"/>
      <w:r>
        <w:rPr>
          <w:b/>
          <w:bCs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sz w:val="24"/>
          <w:szCs w:val="24"/>
          <w:lang w:val="x-none" w:eastAsia="x-none"/>
        </w:rPr>
        <w:t>Целью оказания услуг является обеспечение Воткинского транспортного участка стационарным гаражным оборудованием, необходимым для проведения текущего ремонта узлов и агрегатов транспотрных средств АО «ТК РусГидро»</w:t>
      </w:r>
    </w:p>
    <w:p>
      <w:pPr>
        <w:pStyle w:val="Heading1"/>
        <w:numPr>
          <w:ilvl w:val="1"/>
          <w:numId w:val="8"/>
        </w:numPr>
        <w:ind w:left="0" w:right="0" w:hanging="1587"/>
        <w:rPr>
          <w:b/>
          <w:bCs/>
          <w:sz w:val="24"/>
          <w:szCs w:val="24"/>
        </w:rPr>
      </w:pPr>
      <w:bookmarkStart w:id="8" w:name="__RefHeading___Toc4608_698840893"/>
      <w:bookmarkStart w:id="9" w:name="_Toc157094381"/>
      <w:bookmarkEnd w:id="8"/>
      <w:r>
        <w:rPr>
          <w:b/>
          <w:bCs/>
          <w:sz w:val="24"/>
          <w:szCs w:val="24"/>
        </w:rPr>
        <w:t>Таблица 1. Перечень объектов заказчика</w:t>
      </w:r>
      <w:bookmarkEnd w:id="9"/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5"/>
        <w:gridCol w:w="2874"/>
        <w:gridCol w:w="2374"/>
        <w:gridCol w:w="2449"/>
        <w:gridCol w:w="1978"/>
      </w:tblGrid>
      <w:tr>
        <w:trPr>
          <w:trHeight w:val="801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>
        <w:trPr>
          <w:trHeight w:val="172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172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 2 77.39.19.120 - Аренда гаражного оборудования для нужд Воткинского транспортного участка Приволжского филиала АО «ТК РусГидро»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rFonts w:cs="Times New Roman"/>
                <w:iCs/>
                <w:sz w:val="22"/>
                <w:szCs w:val="22"/>
              </w:rPr>
              <w:t>617761, Пермский край, г. Чайковский, территория филиала ПАО «РусГидро» - «Воткинская ГЭС».</w:t>
            </w:r>
          </w:p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rFonts w:cs="Times New Roman"/>
                <w:iCs/>
                <w:sz w:val="22"/>
                <w:szCs w:val="22"/>
              </w:rPr>
              <w:t>Пермский край, г. Чайковский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iCs/>
                <w:sz w:val="24"/>
                <w:szCs w:val="24"/>
                <w:lang w:eastAsia="x-none"/>
              </w:rPr>
              <w:t>Транспортные средства АО «ТК РусГидро»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Воткинский транспортный участок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0"/>
        </w:numPr>
        <w:ind w:left="0" w:right="0" w:hanging="0"/>
        <w:rPr>
          <w:b/>
          <w:bCs/>
        </w:rPr>
      </w:pPr>
      <w:bookmarkStart w:id="10" w:name="__RefHeading___Toc4610_698840893"/>
      <w:bookmarkEnd w:id="10"/>
      <w:r>
        <w:rPr>
          <w:b/>
          <w:bCs/>
          <w:sz w:val="24"/>
          <w:szCs w:val="24"/>
          <w:lang w:val="ru-RU"/>
        </w:rPr>
        <w:t>2.</w:t>
        <w:tab/>
      </w:r>
      <w:bookmarkStart w:id="11" w:name="_Toc157094382"/>
      <w:r>
        <w:rPr>
          <w:b/>
          <w:bCs/>
          <w:sz w:val="24"/>
          <w:szCs w:val="24"/>
          <w:lang w:val="ru-RU"/>
        </w:rPr>
        <w:t>Требования</w:t>
      </w:r>
      <w:r>
        <w:rPr>
          <w:b/>
          <w:bCs/>
          <w:sz w:val="24"/>
          <w:szCs w:val="24"/>
        </w:rPr>
        <w:t xml:space="preserve"> к </w:t>
      </w:r>
      <w:bookmarkEnd w:id="11"/>
      <w:r>
        <w:rPr>
          <w:b/>
          <w:bCs/>
          <w:sz w:val="24"/>
          <w:szCs w:val="24"/>
        </w:rPr>
        <w:t>продукции</w:t>
      </w:r>
    </w:p>
    <w:p>
      <w:pPr>
        <w:pStyle w:val="Heading3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1587"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12" w:name="__RefHeading___Toc4618_698840893"/>
      <w:bookmarkEnd w:id="12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2.1. </w:t>
      </w:r>
      <w:bookmarkStart w:id="13" w:name="_Toc190946768"/>
      <w:bookmarkStart w:id="14" w:name="_Toc130396891"/>
      <w:bookmarkStart w:id="15" w:name="_Toc157094386"/>
      <w:bookmarkStart w:id="16" w:name="_Toc150444140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Т                 2.1. </w:t>
        <w:tab/>
        <w:t xml:space="preserve">Требования к </w:t>
      </w:r>
      <w:bookmarkEnd w:id="13"/>
      <w:bookmarkEnd w:id="14"/>
      <w:bookmarkEnd w:id="15"/>
      <w:bookmarkEnd w:id="16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объемем и срокам оказания услуг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before="120" w:after="60"/>
        <w:ind w:left="0" w:hanging="0"/>
        <w:jc w:val="left"/>
        <w:outlineLvl w:val="2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2.1.1 </w:t>
        <w:tab/>
        <w:t>Требования к перечню и объему услуг</w:t>
      </w:r>
    </w:p>
    <w:p>
      <w:pPr>
        <w:pStyle w:val="Heading1"/>
        <w:numPr>
          <w:ilvl w:val="1"/>
          <w:numId w:val="8"/>
        </w:numPr>
        <w:ind w:left="0" w:right="0" w:hanging="1587"/>
        <w:rPr>
          <w:b/>
          <w:bCs/>
        </w:rPr>
      </w:pPr>
      <w:bookmarkStart w:id="17" w:name="__RefHeading___Toc4620_698840893"/>
      <w:bookmarkStart w:id="18" w:name="_Toc51339697"/>
      <w:bookmarkStart w:id="19" w:name="_Toc50125127"/>
      <w:bookmarkStart w:id="20" w:name="_Toc157094387"/>
      <w:bookmarkEnd w:id="17"/>
      <w:r>
        <w:rPr>
          <w:b/>
          <w:bCs/>
          <w:sz w:val="24"/>
          <w:szCs w:val="24"/>
        </w:rPr>
        <w:t xml:space="preserve">Таблица 2. </w:t>
      </w:r>
      <w:bookmarkEnd w:id="18"/>
      <w:bookmarkEnd w:id="19"/>
      <w:bookmarkEnd w:id="20"/>
      <w:r>
        <w:rPr>
          <w:b/>
          <w:bCs/>
          <w:sz w:val="24"/>
          <w:szCs w:val="24"/>
        </w:rPr>
        <w:t>Перечень и объем оказываемых услуг</w:t>
      </w:r>
    </w:p>
    <w:p>
      <w:pPr>
        <w:pStyle w:val="Normal"/>
        <w:ind w:left="0" w:right="0" w:hanging="1587"/>
        <w:rPr>
          <w:b/>
          <w:bCs/>
        </w:rPr>
      </w:pPr>
      <w:r>
        <w:rPr>
          <w:b/>
          <w:bCs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0"/>
        <w:gridCol w:w="3688"/>
        <w:gridCol w:w="2895"/>
        <w:gridCol w:w="3236"/>
      </w:tblGrid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Пресс гидравлический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Станок сверлильный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Холодильник 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-1587" w:right="0" w:hanging="0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pPr>
      <w:bookmarkStart w:id="21" w:name="__RefHeading___Toc7991_238034913"/>
      <w:bookmarkEnd w:id="21"/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                           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2.1.2.</w:t>
        <w:tab/>
      </w:r>
      <w:bookmarkStart w:id="22" w:name="_Toc150444142"/>
      <w:bookmarkStart w:id="23" w:name="_Toc190946771"/>
      <w:bookmarkStart w:id="24" w:name="_Toc130396892"/>
      <w:bookmarkStart w:id="25" w:name="_Toc51339696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Требования </w:t>
      </w:r>
      <w:bookmarkEnd w:id="25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к срокам оказания услуг</w:t>
      </w:r>
      <w:bookmarkEnd w:id="22"/>
      <w:bookmarkEnd w:id="23"/>
      <w:bookmarkEnd w:id="24"/>
    </w:p>
    <w:p>
      <w:pPr>
        <w:pStyle w:val="Heading1"/>
        <w:numPr>
          <w:ilvl w:val="1"/>
          <w:numId w:val="8"/>
        </w:numPr>
        <w:ind w:left="0" w:right="0" w:hanging="1587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bookmarkStart w:id="26" w:name="_Toc190946772"/>
      <w:bookmarkStart w:id="27" w:name="_Toc150444143"/>
      <w:bookmarkStart w:id="28" w:name="_Toc50125127_Копия_1"/>
      <w:bookmarkStart w:id="29" w:name="_Toc51339697_Копия_1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30" w:name="_Hlk50465284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8"/>
      <w:bookmarkEnd w:id="29"/>
      <w:bookmarkEnd w:id="30"/>
      <w:r>
        <w:rPr>
          <w:b/>
          <w:bCs/>
          <w:sz w:val="24"/>
          <w:szCs w:val="24"/>
          <w:lang w:val="ru-RU"/>
        </w:rPr>
        <w:t>оказания услуг</w:t>
      </w:r>
      <w:bookmarkEnd w:id="26"/>
      <w:bookmarkEnd w:id="27"/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4"/>
        <w:gridCol w:w="3385"/>
        <w:gridCol w:w="3041"/>
        <w:gridCol w:w="3119"/>
      </w:tblGrid>
      <w:tr>
        <w:trPr>
          <w:trHeight w:val="696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296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07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77.39.19.120 Аренда гаражного оборудования для нужд Воткинского транспортного участка Приволжского филиала АО «ТК РусГидро»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01.01.2027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31.12.2027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714" w:gutter="0" w:header="680" w:top="851" w:footer="855" w:bottom="111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8"/>
        </w:numPr>
        <w:ind w:left="0" w:right="0" w:hanging="1587"/>
        <w:rPr>
          <w:b/>
          <w:bCs/>
        </w:rPr>
      </w:pPr>
      <w:bookmarkStart w:id="31" w:name="__RefHeading___Toc4622_698840893"/>
      <w:bookmarkEnd w:id="31"/>
      <w:r>
        <w:rPr>
          <w:b/>
          <w:bCs/>
        </w:rPr>
        <w:t>2.</w:t>
      </w:r>
      <w:r>
        <w:rPr>
          <w:b/>
          <w:bCs/>
          <w:lang w:val="ru-RU"/>
        </w:rPr>
        <w:t>2</w:t>
      </w:r>
      <w:r>
        <w:rPr>
          <w:b/>
          <w:bCs/>
        </w:rPr>
        <w:t xml:space="preserve">. </w:t>
        <w:tab/>
      </w:r>
      <w:bookmarkStart w:id="32" w:name="_Toc51339698"/>
      <w:bookmarkStart w:id="33" w:name="_Toc157094388"/>
      <w:bookmarkStart w:id="34" w:name="_Toc46743511"/>
      <w:r>
        <w:rPr>
          <w:b/>
          <w:bCs/>
        </w:rPr>
        <w:t xml:space="preserve">Требования к </w:t>
      </w:r>
      <w:bookmarkEnd w:id="34"/>
      <w:r>
        <w:rPr>
          <w:b/>
          <w:bCs/>
          <w:lang w:val="ru-RU"/>
        </w:rPr>
        <w:t xml:space="preserve">качеству </w:t>
      </w:r>
      <w:bookmarkEnd w:id="33"/>
      <w:r>
        <w:rPr>
          <w:b/>
          <w:bCs/>
          <w:lang w:val="ru-RU"/>
        </w:rPr>
        <w:t>продукции</w:t>
      </w:r>
    </w:p>
    <w:p>
      <w:pPr>
        <w:pStyle w:val="Heading1"/>
        <w:numPr>
          <w:ilvl w:val="1"/>
          <w:numId w:val="8"/>
        </w:numPr>
        <w:ind w:left="0" w:right="0" w:hanging="1587"/>
        <w:rPr>
          <w:b/>
          <w:bCs/>
        </w:rPr>
      </w:pPr>
      <w:bookmarkStart w:id="35" w:name="__RefHeading___Toc4624_698840893"/>
      <w:bookmarkStart w:id="36" w:name="_Toc157094389"/>
      <w:bookmarkEnd w:id="35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32"/>
      <w:r>
        <w:rPr>
          <w:b/>
          <w:bCs/>
          <w:sz w:val="24"/>
          <w:szCs w:val="24"/>
          <w:lang w:val="ru-RU"/>
        </w:rPr>
        <w:t xml:space="preserve">качеству </w:t>
      </w:r>
      <w:bookmarkEnd w:id="36"/>
      <w:r>
        <w:rPr>
          <w:b/>
          <w:bCs/>
          <w:sz w:val="24"/>
          <w:szCs w:val="24"/>
          <w:lang w:val="ru-RU"/>
        </w:rPr>
        <w:t>продукции</w:t>
      </w:r>
      <w:r>
        <w:rPr>
          <w:b/>
          <w:bCs/>
        </w:rPr>
        <w:t xml:space="preserve"> 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Наименование услуг/этапа услуг (позиция № 1-3 Таблицы 2): ОКПД2 77.39.19.120 Аренда гаражного оборудования для нужд Воткинского транспортного участка Приволжского филиала АО «ТК РусГидро»</w:t>
      </w:r>
    </w:p>
    <w:tbl>
      <w:tblPr>
        <w:tblW w:w="15075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020"/>
        <w:gridCol w:w="2601"/>
        <w:gridCol w:w="6072"/>
        <w:gridCol w:w="3007"/>
        <w:gridCol w:w="2375"/>
      </w:tblGrid>
      <w:tr>
        <w:trPr/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6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0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37" w:name="_Toc53499667"/>
            <w:r>
              <w:rPr>
                <w:sz w:val="22"/>
                <w:szCs w:val="22"/>
              </w:rPr>
              <w:t>1</w:t>
            </w:r>
            <w:bookmarkEnd w:id="37"/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x-none"/>
              </w:rPr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30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bCs/>
                <w:i/>
                <w:i/>
                <w:lang w:eastAsia="ru-RU"/>
              </w:rPr>
            </w:pPr>
            <w:r>
              <w:rPr>
                <w:bCs/>
                <w:i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Согласие с требованием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before="60" w:after="60"/>
              <w:ind w:left="57" w:right="113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оборудованию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момент передачи, оборудование должно находится в надлежащем состоянии, пригодном для его эксплуатации в соответствии с целевым назначением.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before="60" w:after="60"/>
              <w:ind w:left="57" w:right="113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val="en-US" w:eastAsia="zh-CN"/>
              </w:rPr>
              <w:t>Пресс гидравлический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Усилие не менее 40 тонн; вид установки-напольный; привод-гидравлический; рабочий не менее 900 миллиметров.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before="60" w:after="60"/>
              <w:ind w:left="57" w:right="113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Станок сверлильный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установки-настольный; наибольший диаметр сверления не более-12 миллиметров; наибольший ход шпинделя не менее 100 миллиметров; число скоростей шпинделя не менее-5.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before="60" w:after="60"/>
              <w:ind w:left="57" w:right="113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Тип-двухкамерный с системой No Frost; система управления-электромеханическая; Размеры не менее (длинна Х ширина Х высота) - 600 Х 600 Х 1850 миллиметров.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x-none"/>
              </w:rPr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перед передачей должно пройти техническое обслуживание и осмотр в присутствии Арендатора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8" w:name="__RefHeading___Toc31501_2156146601"/>
            <w:bookmarkStart w:id="39" w:name="__RefHeading___Toc31501_2156146601"/>
            <w:bookmarkEnd w:id="39"/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Арендодатель перед передачей оборудования Арендатору обязан  провести инструктаж по правильной эксплуатацией оборудования.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передается в аренду вместе со всеми его принадлежностями и со всеми документами (технический паспорт, руководством по эксплуатации и т.п.)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8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 аренду оборудования осуществляется согласно заключенному договору аренды</w:t>
            </w:r>
          </w:p>
        </w:tc>
        <w:tc>
          <w:tcPr>
            <w:tcW w:w="30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851" w:right="851" w:gutter="0" w:header="680" w:top="992" w:footer="0" w:bottom="71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Style50"/>
        <w:tabs>
          <w:tab w:val="clear" w:pos="708"/>
          <w:tab w:val="left" w:pos="284" w:leader="none"/>
        </w:tabs>
        <w:spacing w:before="0" w:after="0"/>
        <w:contextualSpacing/>
        <w:jc w:val="left"/>
        <w:rPr>
          <w:rFonts w:eastAsia="Calibri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  <w:tab/>
        <w:tab/>
        <w:t>Требования к документации по ценообразованию на этапе закупки</w:t>
      </w:r>
    </w:p>
    <w:p>
      <w:pPr>
        <w:pStyle w:val="Style50"/>
        <w:tabs>
          <w:tab w:val="clear" w:pos="708"/>
          <w:tab w:val="left" w:pos="284" w:leader="none"/>
        </w:tabs>
        <w:spacing w:before="0" w:after="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3.1.</w:t>
        <w:tab/>
        <w:tab/>
        <w:t>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3.2.</w:t>
        <w:tab/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right="-2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3.3.</w:t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right="-2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Spacing"/>
        <w:tabs>
          <w:tab w:val="clear" w:pos="708"/>
          <w:tab w:val="left" w:pos="42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4. </w:t>
        <w:tab/>
        <w:tab/>
        <w:t>Требования к документации по ценообразованию на этапе заключения (исполнения) договора</w:t>
      </w:r>
    </w:p>
    <w:p>
      <w:pPr>
        <w:pStyle w:val="NoSpacing"/>
        <w:tabs>
          <w:tab w:val="clear" w:pos="708"/>
          <w:tab w:val="left" w:pos="426" w:leader="none"/>
        </w:tabs>
        <w:spacing w:lineRule="auto" w:line="240" w:before="0" w:after="0"/>
        <w:contextualSpacing/>
        <w:jc w:val="both"/>
        <w:rPr/>
      </w:pPr>
      <w:r>
        <w:rPr/>
      </w:r>
    </w:p>
    <w:p>
      <w:pPr>
        <w:pStyle w:val="NoSpacing"/>
        <w:tabs>
          <w:tab w:val="clear" w:pos="708"/>
          <w:tab w:val="left" w:pos="426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4.1. </w:t>
        <w:tab/>
        <w:tab/>
      </w:r>
      <w:r>
        <w:rPr>
          <w:rFonts w:cs="Times New Roman"/>
          <w:sz w:val="24"/>
        </w:rPr>
        <w:t xml:space="preserve">В итоговый расчет стоимости оказания услуг должны быть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проведения работ. </w:t>
      </w:r>
    </w:p>
    <w:p>
      <w:pPr>
        <w:pStyle w:val="NoSpacing"/>
        <w:tabs>
          <w:tab w:val="clear" w:pos="708"/>
          <w:tab w:val="left" w:pos="42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4.2. </w:t>
        <w:tab/>
        <w:tab/>
        <w:t>Стоимость 1 (одной) единицы услуг остается неизменной в течение всего срока действия договора.</w:t>
      </w:r>
    </w:p>
    <w:p>
      <w:pPr>
        <w:pStyle w:val="NoSpacing"/>
        <w:tabs>
          <w:tab w:val="clear" w:pos="708"/>
          <w:tab w:val="left" w:pos="426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4.3.</w:t>
        <w:tab/>
        <w:tab/>
        <w:t>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Style50"/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992" w:right="714" w:gutter="0" w:header="680" w:top="851" w:footer="855" w:bottom="111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CCCCCC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sz w:val="20"/>
        <w:szCs w:val="20"/>
        <w:color w:val="000000"/>
      </w:rPr>
      <w:instrText xml:space="preserve"> PAGE </w:instrText>
    </w:r>
    <w:r>
      <w:rPr>
        <w:sz w:val="20"/>
        <w:szCs w:val="20"/>
        <w:color w:val="000000"/>
      </w:rPr>
      <w:fldChar w:fldCharType="separate"/>
    </w:r>
    <w:r>
      <w:rPr>
        <w:sz w:val="20"/>
        <w:szCs w:val="20"/>
        <w:color w:val="000000"/>
      </w:rPr>
      <w:t>3</w:t>
    </w:r>
    <w:r>
      <w:rPr>
        <w:sz w:val="20"/>
        <w:szCs w:val="20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CCCCCC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sz w:val="20"/>
        <w:szCs w:val="20"/>
        <w:color w:val="000000"/>
      </w:rPr>
      <w:instrText xml:space="preserve"> PAGE </w:instrText>
    </w:r>
    <w:r>
      <w:rPr>
        <w:sz w:val="20"/>
        <w:szCs w:val="20"/>
        <w:color w:val="000000"/>
      </w:rPr>
      <w:fldChar w:fldCharType="separate"/>
    </w:r>
    <w:r>
      <w:rPr>
        <w:sz w:val="20"/>
        <w:szCs w:val="20"/>
        <w:color w:val="000000"/>
      </w:rPr>
      <w:t>6</w:t>
    </w:r>
    <w:r>
      <w:rPr>
        <w:sz w:val="20"/>
        <w:szCs w:val="20"/>
        <w:color w:val="000000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58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6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9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8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0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592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140b7"/>
    <w:pPr>
      <w:keepNext w:val="true"/>
      <w:widowControl/>
      <w:numPr>
        <w:ilvl w:val="1"/>
        <w:numId w:val="8"/>
      </w:numPr>
      <w:tabs>
        <w:tab w:val="clear" w:pos="708"/>
        <w:tab w:val="left" w:pos="0" w:leader="none"/>
      </w:tabs>
      <w:suppressAutoHyphens w:val="true"/>
      <w:bidi w:val="0"/>
      <w:spacing w:lineRule="auto" w:line="240" w:before="120" w:after="60"/>
      <w:ind w:left="0" w:right="0" w:hanging="1587"/>
      <w:jc w:val="left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75ec1"/>
    <w:rPr>
      <w:color w:val="0563C1" w:themeColor="hyperlink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140b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13" w:customStyle="1">
    <w:name w:val="Просмотренная гиперссылка1"/>
    <w:uiPriority w:val="99"/>
    <w:unhideWhenUsed/>
    <w:qFormat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dot"/>
      </w:tabs>
      <w:ind w:left="283" w:firstLine="283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4"/>
      <w:szCs w:val="24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6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6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6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7"/>
      </w:numPr>
      <w:tabs>
        <w:tab w:val="left" w:pos="0" w:leader="none"/>
        <w:tab w:val="left" w:pos="1134" w:leader="none"/>
      </w:tabs>
      <w:spacing w:before="120" w:after="0"/>
      <w:ind w:left="0" w:righ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c97f55"/>
  </w:style>
  <w:style w:type="numbering" w:styleId="112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2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1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5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949F-3FB9-4ADA-B93C-3252A626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AlterOffice/2025.3.1.0$Linux_X86_64 LibreOffice_project/6648c49ab2ca125dff246c75ec00a85a64baa8dd</Application>
  <AppVersion>15.0000</AppVersion>
  <Pages>6</Pages>
  <Words>759</Words>
  <Characters>5176</Characters>
  <CharactersWithSpaces>7086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2025-01-22T06:50:00Z</dcterms:created>
  <dc:creator>Быстров Олег Геннадьевич</dc:creator>
  <dc:description/>
  <dc:language>ru-RU</dc:language>
  <cp:lastModifiedBy>shcherbakovav@corp.gidroogk.com</cp:lastModifiedBy>
  <cp:lastPrinted>2026-06-02T09:28:16Z</cp:lastPrinted>
  <dcterms:modified xsi:type="dcterms:W3CDTF">2026-06-03T08:57:06Z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