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  <w:proofErr w:type="spellEnd"/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435F8AD6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оказание услуг по техническому обслуживанию </w:t>
      </w:r>
      <w:r w:rsidR="008C2282">
        <w:rPr>
          <w:rFonts w:ascii="Times New Roman" w:hAnsi="Times New Roman"/>
          <w:b/>
          <w:sz w:val="28"/>
          <w:lang w:eastAsia="ru-RU"/>
        </w:rPr>
        <w:t>систем</w:t>
      </w:r>
      <w:r>
        <w:rPr>
          <w:rFonts w:ascii="Times New Roman" w:hAnsi="Times New Roman"/>
          <w:b/>
          <w:sz w:val="28"/>
          <w:lang w:eastAsia="ru-RU"/>
        </w:rPr>
        <w:t xml:space="preserve"> отопления </w:t>
      </w:r>
      <w:r w:rsidR="008528EC">
        <w:rPr>
          <w:rFonts w:ascii="Times New Roman" w:hAnsi="Times New Roman"/>
          <w:b/>
          <w:sz w:val="28"/>
          <w:lang w:eastAsia="ru-RU"/>
        </w:rPr>
        <w:t>Иркутского</w:t>
      </w:r>
      <w:r>
        <w:rPr>
          <w:rFonts w:ascii="Times New Roman" w:hAnsi="Times New Roman"/>
          <w:b/>
          <w:sz w:val="28"/>
          <w:lang w:eastAsia="ru-RU"/>
        </w:rPr>
        <w:t xml:space="preserve"> почтамта ОПС 66</w:t>
      </w:r>
      <w:r w:rsidR="008528EC">
        <w:rPr>
          <w:rFonts w:ascii="Times New Roman" w:hAnsi="Times New Roman"/>
          <w:b/>
          <w:sz w:val="28"/>
          <w:lang w:eastAsia="ru-RU"/>
        </w:rPr>
        <w:t>4046, ОПС 664968, ОПС 666033</w:t>
      </w:r>
      <w:r>
        <w:rPr>
          <w:rFonts w:ascii="Times New Roman" w:hAnsi="Times New Roman"/>
          <w:b/>
          <w:sz w:val="28"/>
          <w:lang w:eastAsia="ru-RU"/>
        </w:rPr>
        <w:t xml:space="preserve"> 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1224A7" w14:textId="0BFAC8FB" w:rsidR="000125EC" w:rsidRPr="008528EC" w:rsidRDefault="0002311D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Pr="0002311D">
        <w:rPr>
          <w:rFonts w:ascii="Times New Roman" w:hAnsi="Times New Roman"/>
          <w:sz w:val="28"/>
          <w:lang w:eastAsia="ru-RU"/>
        </w:rPr>
        <w:t>Оказание услуг по т</w:t>
      </w:r>
      <w:r w:rsidR="008C2282">
        <w:rPr>
          <w:rFonts w:ascii="Times New Roman" w:hAnsi="Times New Roman"/>
          <w:sz w:val="28"/>
          <w:lang w:eastAsia="ru-RU"/>
        </w:rPr>
        <w:t>ехническому обслуживанию систем</w:t>
      </w:r>
      <w:r w:rsidRPr="0002311D">
        <w:rPr>
          <w:rFonts w:ascii="Times New Roman" w:hAnsi="Times New Roman"/>
          <w:sz w:val="28"/>
          <w:lang w:eastAsia="ru-RU"/>
        </w:rPr>
        <w:t xml:space="preserve"> отопления </w:t>
      </w:r>
      <w:r w:rsidR="008528EC" w:rsidRPr="008528EC">
        <w:rPr>
          <w:rFonts w:ascii="Times New Roman" w:hAnsi="Times New Roman"/>
          <w:sz w:val="28"/>
          <w:lang w:eastAsia="ru-RU"/>
        </w:rPr>
        <w:t>Иркутского почтамта ОПС 664046, ОПС 664968, ОПС 666033</w:t>
      </w:r>
      <w:r w:rsidR="00340DB8">
        <w:rPr>
          <w:rFonts w:ascii="Times New Roman" w:hAnsi="Times New Roman"/>
          <w:sz w:val="28"/>
          <w:lang w:eastAsia="ru-RU"/>
        </w:rPr>
        <w:t xml:space="preserve"> </w:t>
      </w:r>
      <w:r w:rsidR="008528EC" w:rsidRPr="008528EC">
        <w:rPr>
          <w:rFonts w:ascii="Times New Roman" w:hAnsi="Times New Roman"/>
          <w:sz w:val="28"/>
          <w:lang w:eastAsia="ru-RU"/>
        </w:rPr>
        <w:t>для нужд УФПС Иркутской области</w:t>
      </w:r>
      <w:r w:rsidR="008528EC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7EE5DBC2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 xml:space="preserve">: с даты заключения </w:t>
      </w:r>
      <w:r w:rsidR="00B3196E">
        <w:t xml:space="preserve">договора </w:t>
      </w:r>
      <w:r w:rsidR="008F329D">
        <w:t xml:space="preserve">по </w:t>
      </w:r>
      <w:r w:rsidR="0018061E">
        <w:t>0</w:t>
      </w:r>
      <w:r w:rsidR="008F329D">
        <w:t>1.0</w:t>
      </w:r>
      <w:r w:rsidR="0018061E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W w:w="4937" w:type="pct"/>
        <w:tblInd w:w="-289" w:type="dxa"/>
        <w:tblLook w:val="04A0" w:firstRow="1" w:lastRow="0" w:firstColumn="1" w:lastColumn="0" w:noHBand="0" w:noVBand="1"/>
      </w:tblPr>
      <w:tblGrid>
        <w:gridCol w:w="568"/>
        <w:gridCol w:w="9498"/>
      </w:tblGrid>
      <w:tr w:rsidR="000125EC" w:rsidRPr="006D3002" w14:paraId="57CFFA5E" w14:textId="77777777" w:rsidTr="0002311D">
        <w:trPr>
          <w:trHeight w:val="29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4DC1" w14:textId="77777777" w:rsidR="000125EC" w:rsidRPr="006D3002" w:rsidRDefault="000125EC" w:rsidP="006D30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0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9B2E" w14:textId="77777777" w:rsidR="000125EC" w:rsidRPr="006D3002" w:rsidRDefault="000125EC" w:rsidP="006D3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30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0125EC" w:rsidRPr="006D3002" w14:paraId="15EBBB5A" w14:textId="77777777" w:rsidTr="0002311D">
        <w:trPr>
          <w:trHeight w:val="7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CD00" w14:textId="77777777" w:rsidR="000125EC" w:rsidRPr="0002311D" w:rsidRDefault="000125EC" w:rsidP="006D30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1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373" w14:textId="02A905B4" w:rsidR="000125EC" w:rsidRPr="006D3002" w:rsidRDefault="008F329D" w:rsidP="000231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28EC">
              <w:rPr>
                <w:rFonts w:ascii="Times New Roman" w:hAnsi="Times New Roman"/>
                <w:sz w:val="28"/>
                <w:szCs w:val="28"/>
              </w:rPr>
              <w:t xml:space="preserve">664046, г. Иркутск, б-р </w:t>
            </w:r>
            <w:proofErr w:type="spellStart"/>
            <w:r w:rsidRPr="008528EC">
              <w:rPr>
                <w:rFonts w:ascii="Times New Roman" w:hAnsi="Times New Roman"/>
                <w:sz w:val="28"/>
                <w:szCs w:val="28"/>
              </w:rPr>
              <w:t>Постышева</w:t>
            </w:r>
            <w:proofErr w:type="spellEnd"/>
            <w:r w:rsidRPr="008528EC">
              <w:rPr>
                <w:rFonts w:ascii="Times New Roman" w:hAnsi="Times New Roman"/>
                <w:sz w:val="28"/>
                <w:szCs w:val="28"/>
              </w:rPr>
              <w:t>, д.37</w:t>
            </w:r>
          </w:p>
        </w:tc>
      </w:tr>
      <w:tr w:rsidR="0002311D" w:rsidRPr="006D3002" w14:paraId="0C6FBEF9" w14:textId="77777777" w:rsidTr="0002311D">
        <w:trPr>
          <w:trHeight w:val="82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61A6" w14:textId="2C811A10" w:rsidR="0002311D" w:rsidRPr="0002311D" w:rsidRDefault="0002311D" w:rsidP="006D30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1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32D" w14:textId="039B9A64" w:rsidR="0002311D" w:rsidRPr="000125EC" w:rsidRDefault="005A2E63" w:rsidP="006D3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EC">
              <w:rPr>
                <w:rFonts w:ascii="Times New Roman" w:hAnsi="Times New Roman"/>
                <w:sz w:val="28"/>
                <w:szCs w:val="28"/>
              </w:rPr>
              <w:t>664968, г. Иркутск, ул. 2-я Летчиков, д. 29а</w:t>
            </w:r>
          </w:p>
        </w:tc>
      </w:tr>
      <w:tr w:rsidR="0002311D" w:rsidRPr="006D3002" w14:paraId="24821101" w14:textId="77777777" w:rsidTr="0002311D">
        <w:trPr>
          <w:trHeight w:val="69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86A2" w14:textId="27491272" w:rsidR="0002311D" w:rsidRPr="0002311D" w:rsidRDefault="0002311D" w:rsidP="006D30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231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DF7A" w14:textId="203A5190" w:rsidR="0002311D" w:rsidRPr="000125EC" w:rsidRDefault="005A2E63" w:rsidP="006D3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EC">
              <w:rPr>
                <w:rFonts w:ascii="Times New Roman" w:hAnsi="Times New Roman"/>
                <w:sz w:val="28"/>
                <w:szCs w:val="28"/>
              </w:rPr>
              <w:t>666033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28EC">
              <w:rPr>
                <w:rFonts w:ascii="Times New Roman" w:hAnsi="Times New Roman"/>
                <w:sz w:val="28"/>
                <w:szCs w:val="28"/>
              </w:rPr>
              <w:t xml:space="preserve"> Иркутская область, г. </w:t>
            </w:r>
            <w:proofErr w:type="spellStart"/>
            <w:r w:rsidRPr="008528EC">
              <w:rPr>
                <w:rFonts w:ascii="Times New Roman" w:hAnsi="Times New Roman"/>
                <w:sz w:val="28"/>
                <w:szCs w:val="28"/>
              </w:rPr>
              <w:t>Шелехов</w:t>
            </w:r>
            <w:proofErr w:type="spellEnd"/>
            <w:r w:rsidRPr="008528E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8528EC">
              <w:rPr>
                <w:rFonts w:ascii="Times New Roman" w:hAnsi="Times New Roman"/>
                <w:sz w:val="28"/>
                <w:szCs w:val="28"/>
              </w:rPr>
              <w:t>Култукский</w:t>
            </w:r>
            <w:proofErr w:type="spellEnd"/>
            <w:r w:rsidRPr="008528EC">
              <w:rPr>
                <w:rFonts w:ascii="Times New Roman" w:hAnsi="Times New Roman"/>
                <w:sz w:val="28"/>
                <w:szCs w:val="28"/>
              </w:rPr>
              <w:t xml:space="preserve"> тракт, д 14а, кв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28EC">
              <w:rPr>
                <w:rFonts w:ascii="Times New Roman" w:hAnsi="Times New Roman"/>
                <w:sz w:val="28"/>
                <w:szCs w:val="28"/>
              </w:rPr>
              <w:t xml:space="preserve"> А/1-3</w:t>
            </w:r>
          </w:p>
        </w:tc>
      </w:tr>
    </w:tbl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573F76B1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3355CE">
        <w:rPr>
          <w:rFonts w:ascii="Times New Roman" w:hAnsi="Times New Roman"/>
          <w:sz w:val="28"/>
          <w:szCs w:val="28"/>
        </w:rPr>
        <w:t xml:space="preserve">федерации от </w:t>
      </w:r>
      <w:r w:rsidR="00B3196E">
        <w:rPr>
          <w:rFonts w:ascii="Times New Roman" w:hAnsi="Times New Roman"/>
          <w:sz w:val="28"/>
          <w:szCs w:val="28"/>
        </w:rPr>
        <w:t>13.11.2024</w:t>
      </w:r>
      <w:r w:rsidR="003355CE">
        <w:rPr>
          <w:rFonts w:ascii="Times New Roman" w:hAnsi="Times New Roman"/>
          <w:sz w:val="28"/>
          <w:szCs w:val="28"/>
        </w:rPr>
        <w:t xml:space="preserve"> № </w:t>
      </w:r>
      <w:r w:rsidR="00B3196E">
        <w:rPr>
          <w:rFonts w:ascii="Times New Roman" w:hAnsi="Times New Roman"/>
          <w:sz w:val="28"/>
          <w:szCs w:val="28"/>
        </w:rPr>
        <w:t>2234</w:t>
      </w:r>
      <w:bookmarkEnd w:id="0"/>
      <w:r w:rsidR="003355CE">
        <w:rPr>
          <w:rFonts w:ascii="Times New Roman" w:hAnsi="Times New Roman"/>
          <w:sz w:val="28"/>
          <w:szCs w:val="28"/>
        </w:rPr>
        <w:t>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 xml:space="preserve">) «Технический </w:t>
      </w:r>
      <w:r>
        <w:rPr>
          <w:rFonts w:ascii="Times New Roman" w:hAnsi="Times New Roman"/>
          <w:sz w:val="28"/>
          <w:szCs w:val="28"/>
        </w:rPr>
        <w:lastRenderedPageBreak/>
        <w:t>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Исполнитель приказом назначает ответственное лицо за оказание услуг и 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ресурсоснабжения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промывки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установки, проведенной в присутствии представителя единой теплоснабжающей организации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сетей 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установок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организациями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 xml:space="preserve">Акты осмотра объектов теплоснабжения и </w:t>
      </w:r>
      <w:proofErr w:type="spellStart"/>
      <w:r w:rsidRPr="00F829DB">
        <w:t>теплопотребляющих</w:t>
      </w:r>
      <w:proofErr w:type="spellEnd"/>
      <w:r w:rsidRPr="00F829DB"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Pr="00F829DB">
        <w:t>теплопотребляющих</w:t>
      </w:r>
      <w:proofErr w:type="spellEnd"/>
      <w:r w:rsidRPr="00F829DB"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</w:t>
      </w:r>
      <w:proofErr w:type="spellStart"/>
      <w:r w:rsidRPr="00F829DB">
        <w:t>пп</w:t>
      </w:r>
      <w:proofErr w:type="spellEnd"/>
      <w:r w:rsidRPr="00F829DB">
        <w:t>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612773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09E59C5F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21CB0462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4EF86D28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672095D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086AD395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1BAFDF6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626CE59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5FA4DD9D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5D05AE8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72D8DC6C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1DAB794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в закрытых системах теплоснабжения,</w:t>
            </w:r>
          </w:p>
          <w:p w14:paraId="54BE7292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трубопроводе холодной воды перед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водоподогревателями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горячего водоснабжения за водомерами по ходу воды,</w:t>
            </w:r>
          </w:p>
          <w:p w14:paraId="5404D046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 на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подпиточном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трубопроводе системы отопления при отсутствии на нем насоса,</w:t>
            </w:r>
          </w:p>
          <w:p w14:paraId="7ACC8D2A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2CF7864F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44E3811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886B" w14:textId="77777777" w:rsidR="00DD3E63" w:rsidRDefault="00DD3E63" w:rsidP="00780E53">
      <w:pPr>
        <w:spacing w:after="0" w:line="240" w:lineRule="auto"/>
      </w:pPr>
      <w:r>
        <w:separator/>
      </w:r>
    </w:p>
  </w:endnote>
  <w:endnote w:type="continuationSeparator" w:id="0">
    <w:p w14:paraId="5FE7413C" w14:textId="77777777" w:rsidR="00DD3E63" w:rsidRDefault="00DD3E63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5C4E" w14:textId="77777777" w:rsidR="00DD3E63" w:rsidRDefault="00DD3E63" w:rsidP="00780E53">
      <w:pPr>
        <w:spacing w:after="0" w:line="240" w:lineRule="auto"/>
      </w:pPr>
      <w:r>
        <w:separator/>
      </w:r>
    </w:p>
  </w:footnote>
  <w:footnote w:type="continuationSeparator" w:id="0">
    <w:p w14:paraId="7C6C347C" w14:textId="77777777" w:rsidR="00DD3E63" w:rsidRDefault="00DD3E63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5F9E1B4F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B3196E">
          <w:rPr>
            <w:rFonts w:ascii="Times New Roman" w:hAnsi="Times New Roman"/>
            <w:noProof/>
          </w:rPr>
          <w:t>12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2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061E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196E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1433-5838-499C-9C67-9EE1846B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12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Шульгина Анастасия Николаевна</cp:lastModifiedBy>
  <cp:revision>14</cp:revision>
  <cp:lastPrinted>2021-06-28T07:20:00Z</cp:lastPrinted>
  <dcterms:created xsi:type="dcterms:W3CDTF">2024-03-29T01:54:00Z</dcterms:created>
  <dcterms:modified xsi:type="dcterms:W3CDTF">2026-05-27T07:59:00Z</dcterms:modified>
</cp:coreProperties>
</file>