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7E0445">
        <w:rPr>
          <w:rFonts w:ascii="Times New Roman" w:eastAsia="Times New Roman" w:hAnsi="Times New Roman" w:cs="Times New Roman"/>
          <w:b/>
          <w:bCs/>
          <w:iCs/>
          <w:sz w:val="24"/>
          <w:szCs w:val="24"/>
          <w:lang w:eastAsia="ru-RU"/>
        </w:rPr>
        <w:t>-19449-П (107)</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755955">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B8703F"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B8703F">
              <w:rPr>
                <w:rFonts w:ascii="Times New Roman" w:eastAsia="Times New Roman" w:hAnsi="Times New Roman" w:cs="Times New Roman"/>
                <w:b/>
                <w:sz w:val="20"/>
                <w:szCs w:val="20"/>
                <w:lang w:eastAsia="ru-RU"/>
              </w:rPr>
              <w:t xml:space="preserve">УФПС </w:t>
            </w:r>
            <w:r w:rsidR="00FA0AF3" w:rsidRPr="00B8703F">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B8703F" w:rsidRDefault="00FA0AF3"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B8703F">
              <w:rPr>
                <w:rFonts w:ascii="Times New Roman" w:eastAsia="Times New Roman" w:hAnsi="Times New Roman" w:cs="Times New Roman"/>
                <w:b/>
                <w:sz w:val="20"/>
                <w:szCs w:val="20"/>
                <w:lang w:eastAsia="ru-RU"/>
              </w:rPr>
              <w:t xml:space="preserve">Поставка </w:t>
            </w:r>
            <w:r w:rsidR="00D832BC" w:rsidRPr="00B8703F">
              <w:rPr>
                <w:rFonts w:ascii="Times New Roman" w:eastAsia="Times New Roman" w:hAnsi="Times New Roman" w:cs="Times New Roman"/>
                <w:b/>
                <w:sz w:val="20"/>
                <w:szCs w:val="20"/>
                <w:lang w:eastAsia="ru-RU"/>
              </w:rPr>
              <w:t>дров колотых для ОПС по адресу: п.Пено,ул.249 Стрелковая дивизия, д. 20 для нужд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D832BC">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D832BC">
              <w:rPr>
                <w:rFonts w:ascii="Times New Roman" w:eastAsia="Times New Roman" w:hAnsi="Times New Roman" w:cs="Times New Roman"/>
                <w:b/>
                <w:i/>
                <w:sz w:val="20"/>
                <w:szCs w:val="20"/>
                <w:lang w:eastAsia="ru-RU"/>
              </w:rPr>
              <w:t>2  173 000</w:t>
            </w:r>
            <w:r w:rsidR="00FA0AF3">
              <w:rPr>
                <w:rFonts w:ascii="Times New Roman" w:eastAsia="Times New Roman" w:hAnsi="Times New Roman" w:cs="Times New Roman"/>
                <w:b/>
                <w:i/>
                <w:sz w:val="20"/>
                <w:szCs w:val="20"/>
                <w:lang w:eastAsia="ru-RU"/>
              </w:rPr>
              <w:t xml:space="preserve"> (</w:t>
            </w:r>
            <w:r w:rsidR="00D832BC">
              <w:rPr>
                <w:rFonts w:ascii="Times New Roman" w:eastAsia="Times New Roman" w:hAnsi="Times New Roman" w:cs="Times New Roman"/>
                <w:b/>
                <w:i/>
                <w:sz w:val="20"/>
                <w:szCs w:val="20"/>
                <w:lang w:eastAsia="ru-RU"/>
              </w:rPr>
              <w:t>два миллиона сто семьдесят три тысячи</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D832BC"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530</w:t>
            </w:r>
            <w:r w:rsidR="00FA0AF3">
              <w:rPr>
                <w:rFonts w:ascii="Times New Roman" w:eastAsia="Times New Roman" w:hAnsi="Times New Roman" w:cs="Times New Roman"/>
                <w:i/>
                <w:sz w:val="20"/>
                <w:szCs w:val="20"/>
                <w:lang w:eastAsia="ru-RU"/>
              </w:rPr>
              <w:t xml:space="preserve">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E0445" w:rsidRDefault="00537277" w:rsidP="00537277">
      <w:pPr>
        <w:spacing w:after="0" w:line="240" w:lineRule="auto"/>
        <w:jc w:val="right"/>
        <w:rPr>
          <w:rFonts w:ascii="Times New Roman" w:hAnsi="Times New Roman" w:cs="Times New Roman"/>
          <w:sz w:val="20"/>
          <w:szCs w:val="20"/>
          <w:highlight w:val="yellow"/>
        </w:rPr>
      </w:pPr>
      <w:r w:rsidRPr="007E0445">
        <w:rPr>
          <w:rFonts w:ascii="Times New Roman" w:hAnsi="Times New Roman" w:cs="Times New Roman"/>
          <w:sz w:val="20"/>
          <w:szCs w:val="20"/>
          <w:highlight w:val="yellow"/>
        </w:rPr>
        <w:t>Приложение № 1</w:t>
      </w:r>
      <w:r w:rsidR="0022130D" w:rsidRPr="007E0445">
        <w:rPr>
          <w:rFonts w:ascii="Times New Roman" w:hAnsi="Times New Roman" w:cs="Times New Roman"/>
          <w:sz w:val="20"/>
          <w:szCs w:val="20"/>
          <w:highlight w:val="yellow"/>
        </w:rPr>
        <w:t xml:space="preserve"> к ИоТРУ</w:t>
      </w:r>
    </w:p>
    <w:p w:rsidR="003D3285" w:rsidRPr="007E0445" w:rsidRDefault="00537277" w:rsidP="003D3285">
      <w:pPr>
        <w:spacing w:after="0" w:line="240" w:lineRule="auto"/>
        <w:jc w:val="center"/>
        <w:rPr>
          <w:rFonts w:ascii="Times New Roman" w:hAnsi="Times New Roman" w:cs="Times New Roman"/>
          <w:b/>
          <w:bCs/>
          <w:sz w:val="20"/>
          <w:szCs w:val="20"/>
          <w:highlight w:val="yellow"/>
        </w:rPr>
      </w:pPr>
      <w:r w:rsidRPr="007E0445">
        <w:rPr>
          <w:sz w:val="20"/>
          <w:szCs w:val="20"/>
          <w:highlight w:val="yellow"/>
        </w:rPr>
        <w:br/>
      </w:r>
      <w:r w:rsidR="003D3285" w:rsidRPr="007E0445">
        <w:rPr>
          <w:rFonts w:ascii="Times New Roman" w:hAnsi="Times New Roman" w:cs="Times New Roman"/>
          <w:b/>
          <w:bCs/>
          <w:sz w:val="20"/>
          <w:szCs w:val="20"/>
          <w:highlight w:val="yellow"/>
        </w:rPr>
        <w:t xml:space="preserve">ФОРМА «ПРЕДЛОЖЕНИЕ </w:t>
      </w:r>
      <w:r w:rsidR="00232152" w:rsidRPr="007E0445">
        <w:rPr>
          <w:rFonts w:ascii="Times New Roman" w:hAnsi="Times New Roman" w:cs="Times New Roman"/>
          <w:b/>
          <w:bCs/>
          <w:sz w:val="20"/>
          <w:szCs w:val="20"/>
          <w:highlight w:val="yellow"/>
        </w:rPr>
        <w:t>УЧАСТНИКА</w:t>
      </w:r>
      <w:r w:rsidR="003D3285" w:rsidRPr="007E0445">
        <w:rPr>
          <w:rFonts w:ascii="Times New Roman" w:hAnsi="Times New Roman" w:cs="Times New Roman"/>
          <w:b/>
          <w:bCs/>
          <w:sz w:val="20"/>
          <w:szCs w:val="20"/>
          <w:highlight w:val="yellow"/>
        </w:rPr>
        <w:t>»</w:t>
      </w:r>
    </w:p>
    <w:p w:rsidR="00232152" w:rsidRPr="007E0445" w:rsidRDefault="00232152" w:rsidP="003D3285">
      <w:pPr>
        <w:spacing w:after="0" w:line="240" w:lineRule="auto"/>
        <w:jc w:val="center"/>
        <w:rPr>
          <w:rFonts w:ascii="Times New Roman" w:hAnsi="Times New Roman" w:cs="Times New Roman"/>
          <w:b/>
          <w:bCs/>
          <w:sz w:val="20"/>
          <w:szCs w:val="20"/>
          <w:highlight w:val="yellow"/>
        </w:rPr>
      </w:pPr>
      <w:r w:rsidRPr="007E0445">
        <w:rPr>
          <w:rFonts w:ascii="Times New Roman" w:hAnsi="Times New Roman" w:cs="Times New Roman"/>
          <w:b/>
          <w:bCs/>
          <w:sz w:val="20"/>
          <w:szCs w:val="20"/>
          <w:highlight w:val="yellow"/>
        </w:rPr>
        <w:t>(рекомендуемая форма)</w:t>
      </w:r>
    </w:p>
    <w:p w:rsidR="00232152" w:rsidRPr="007E0445" w:rsidRDefault="00232152" w:rsidP="00232152">
      <w:pPr>
        <w:spacing w:after="0" w:line="240" w:lineRule="auto"/>
        <w:rPr>
          <w:rFonts w:ascii="Times New Roman" w:hAnsi="Times New Roman" w:cs="Times New Roman"/>
          <w:bCs/>
          <w:sz w:val="20"/>
          <w:szCs w:val="20"/>
          <w:highlight w:val="yellow"/>
        </w:rPr>
      </w:pPr>
      <w:r w:rsidRPr="007E0445">
        <w:rPr>
          <w:rFonts w:ascii="Times New Roman" w:hAnsi="Times New Roman" w:cs="Times New Roman"/>
          <w:bCs/>
          <w:sz w:val="20"/>
          <w:szCs w:val="20"/>
          <w:highlight w:val="yellow"/>
          <w:lang w:val="ru"/>
        </w:rPr>
        <w:t xml:space="preserve">На бланке участника </w:t>
      </w:r>
      <w:r w:rsidRPr="007E0445">
        <w:rPr>
          <w:rFonts w:ascii="Times New Roman" w:hAnsi="Times New Roman" w:cs="Times New Roman"/>
          <w:bCs/>
          <w:sz w:val="20"/>
          <w:szCs w:val="20"/>
          <w:highlight w:val="yellow"/>
        </w:rPr>
        <w:t>ценового отбора</w:t>
      </w:r>
    </w:p>
    <w:p w:rsidR="00232152" w:rsidRPr="007E0445" w:rsidRDefault="00232152" w:rsidP="00CC680C">
      <w:pPr>
        <w:spacing w:after="0" w:line="240" w:lineRule="auto"/>
        <w:jc w:val="both"/>
        <w:rPr>
          <w:rFonts w:ascii="Times New Roman" w:hAnsi="Times New Roman" w:cs="Times New Roman"/>
          <w:bCs/>
          <w:sz w:val="20"/>
          <w:szCs w:val="20"/>
          <w:highlight w:val="yellow"/>
        </w:rPr>
      </w:pPr>
      <w:r w:rsidRPr="007E0445">
        <w:rPr>
          <w:rFonts w:ascii="Times New Roman" w:hAnsi="Times New Roman" w:cs="Times New Roman"/>
          <w:bCs/>
          <w:sz w:val="20"/>
          <w:szCs w:val="20"/>
          <w:highlight w:val="yellow"/>
          <w:lang w:val="ru"/>
        </w:rPr>
        <w:t>____________________________________________</w:t>
      </w:r>
      <w:r w:rsidRPr="007E0445">
        <w:rPr>
          <w:rFonts w:ascii="Times New Roman" w:hAnsi="Times New Roman" w:cs="Times New Roman"/>
          <w:bCs/>
          <w:sz w:val="20"/>
          <w:szCs w:val="20"/>
          <w:highlight w:val="yellow"/>
        </w:rPr>
        <w:t>___, действующий на основании ______________</w:t>
      </w:r>
    </w:p>
    <w:p w:rsidR="00232152" w:rsidRPr="007E0445" w:rsidRDefault="00232152" w:rsidP="00232152">
      <w:pPr>
        <w:spacing w:after="0" w:line="240" w:lineRule="auto"/>
        <w:rPr>
          <w:rFonts w:ascii="Times New Roman" w:hAnsi="Times New Roman" w:cs="Times New Roman"/>
          <w:bCs/>
          <w:i/>
          <w:sz w:val="20"/>
          <w:szCs w:val="20"/>
          <w:highlight w:val="yellow"/>
          <w:vertAlign w:val="superscript"/>
          <w:lang w:val="ru"/>
        </w:rPr>
      </w:pPr>
      <w:r w:rsidRPr="007E0445">
        <w:rPr>
          <w:rFonts w:ascii="Times New Roman" w:hAnsi="Times New Roman" w:cs="Times New Roman"/>
          <w:bCs/>
          <w:sz w:val="20"/>
          <w:szCs w:val="20"/>
          <w:highlight w:val="yellow"/>
          <w:lang w:val="ru"/>
        </w:rPr>
        <w:t xml:space="preserve">               </w:t>
      </w:r>
      <w:r w:rsidRPr="007E0445">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7E0445">
        <w:rPr>
          <w:rFonts w:ascii="Times New Roman" w:hAnsi="Times New Roman" w:cs="Times New Roman"/>
          <w:bCs/>
          <w:i/>
          <w:sz w:val="20"/>
          <w:szCs w:val="20"/>
          <w:highlight w:val="yellow"/>
          <w:vertAlign w:val="superscript"/>
        </w:rPr>
        <w:t>ценового отбора</w:t>
      </w:r>
      <w:r w:rsidRPr="007E0445">
        <w:rPr>
          <w:rFonts w:ascii="Times New Roman" w:hAnsi="Times New Roman" w:cs="Times New Roman"/>
          <w:bCs/>
          <w:i/>
          <w:sz w:val="20"/>
          <w:szCs w:val="20"/>
          <w:highlight w:val="yellow"/>
          <w:vertAlign w:val="superscript"/>
          <w:lang w:val="ru"/>
        </w:rPr>
        <w:t>)</w:t>
      </w:r>
    </w:p>
    <w:p w:rsidR="003D3285" w:rsidRPr="007E0445" w:rsidRDefault="003D3285" w:rsidP="003D3285">
      <w:pPr>
        <w:spacing w:after="0" w:line="240" w:lineRule="auto"/>
        <w:jc w:val="center"/>
        <w:rPr>
          <w:rFonts w:ascii="Times New Roman" w:hAnsi="Times New Roman" w:cs="Times New Roman"/>
          <w:b/>
          <w:sz w:val="20"/>
          <w:szCs w:val="20"/>
          <w:highlight w:val="yellow"/>
        </w:rPr>
      </w:pPr>
    </w:p>
    <w:p w:rsidR="003D3285" w:rsidRPr="007E0445"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7E0445" w:rsidTr="00CC680C">
        <w:trPr>
          <w:trHeight w:val="688"/>
          <w:tblCellSpacing w:w="5" w:type="nil"/>
        </w:trPr>
        <w:tc>
          <w:tcPr>
            <w:tcW w:w="567" w:type="dxa"/>
            <w:shd w:val="clear" w:color="auto" w:fill="FFFFFF"/>
            <w:vAlign w:val="center"/>
          </w:tcPr>
          <w:p w:rsidR="00CC680C" w:rsidRPr="007E0445" w:rsidRDefault="00CC680C" w:rsidP="003D3285">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 п/п</w:t>
            </w:r>
          </w:p>
        </w:tc>
        <w:tc>
          <w:tcPr>
            <w:tcW w:w="1905" w:type="dxa"/>
            <w:shd w:val="clear" w:color="auto" w:fill="FFFFFF"/>
            <w:vAlign w:val="center"/>
          </w:tcPr>
          <w:p w:rsidR="00CC680C" w:rsidRPr="007E0445" w:rsidRDefault="00CC680C" w:rsidP="00CC680C">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7E0445" w:rsidRDefault="00CC680C" w:rsidP="003D3285">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Ед. измерения</w:t>
            </w:r>
          </w:p>
        </w:tc>
        <w:tc>
          <w:tcPr>
            <w:tcW w:w="850"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количество</w:t>
            </w:r>
          </w:p>
        </w:tc>
        <w:tc>
          <w:tcPr>
            <w:tcW w:w="1276"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Цена за единицу с НДС</w:t>
            </w:r>
          </w:p>
        </w:tc>
      </w:tr>
      <w:tr w:rsidR="00CC680C" w:rsidRPr="007E0445" w:rsidTr="00CC680C">
        <w:trPr>
          <w:tblCellSpacing w:w="5" w:type="nil"/>
        </w:trPr>
        <w:tc>
          <w:tcPr>
            <w:tcW w:w="567" w:type="dxa"/>
            <w:shd w:val="clear" w:color="auto" w:fill="FFFFFF"/>
          </w:tcPr>
          <w:p w:rsidR="00CC680C" w:rsidRPr="007E0445" w:rsidRDefault="00CC680C" w:rsidP="00CC680C">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1.</w:t>
            </w:r>
          </w:p>
        </w:tc>
        <w:tc>
          <w:tcPr>
            <w:tcW w:w="1905" w:type="dxa"/>
            <w:shd w:val="clear" w:color="auto" w:fill="FFFFFF"/>
          </w:tcPr>
          <w:p w:rsidR="00CC680C" w:rsidRPr="007E0445" w:rsidRDefault="00CC680C" w:rsidP="00CC680C">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w:t>
            </w:r>
          </w:p>
        </w:tc>
        <w:tc>
          <w:tcPr>
            <w:tcW w:w="1134" w:type="dxa"/>
            <w:shd w:val="clear" w:color="auto" w:fill="FFFFFF"/>
          </w:tcPr>
          <w:p w:rsidR="00CC680C" w:rsidRPr="007E0445" w:rsidRDefault="00CC680C" w:rsidP="00CC680C">
            <w:pPr>
              <w:rPr>
                <w:highlight w:val="yellow"/>
              </w:rPr>
            </w:pPr>
            <w:r w:rsidRPr="007E0445">
              <w:rPr>
                <w:rFonts w:ascii="Times New Roman" w:hAnsi="Times New Roman" w:cs="Times New Roman"/>
                <w:b/>
                <w:sz w:val="20"/>
                <w:szCs w:val="20"/>
                <w:highlight w:val="yellow"/>
              </w:rPr>
              <w:t>……..</w:t>
            </w:r>
          </w:p>
        </w:tc>
        <w:tc>
          <w:tcPr>
            <w:tcW w:w="850" w:type="dxa"/>
            <w:shd w:val="clear" w:color="auto" w:fill="FFFFFF"/>
          </w:tcPr>
          <w:p w:rsidR="00CC680C" w:rsidRPr="007E0445" w:rsidRDefault="00CC680C" w:rsidP="00CC680C">
            <w:pPr>
              <w:rPr>
                <w:highlight w:val="yellow"/>
              </w:rPr>
            </w:pPr>
            <w:r w:rsidRPr="007E0445">
              <w:rPr>
                <w:rFonts w:ascii="Times New Roman" w:hAnsi="Times New Roman" w:cs="Times New Roman"/>
                <w:b/>
                <w:sz w:val="20"/>
                <w:szCs w:val="20"/>
                <w:highlight w:val="yellow"/>
              </w:rPr>
              <w:t>……..</w:t>
            </w:r>
          </w:p>
        </w:tc>
        <w:tc>
          <w:tcPr>
            <w:tcW w:w="1276" w:type="dxa"/>
            <w:shd w:val="clear" w:color="auto" w:fill="FFFFFF"/>
          </w:tcPr>
          <w:p w:rsidR="00CC680C" w:rsidRPr="007E0445" w:rsidRDefault="00CC680C" w:rsidP="00CC680C">
            <w:pPr>
              <w:jc w:val="center"/>
              <w:rPr>
                <w:highlight w:val="yellow"/>
              </w:rPr>
            </w:pPr>
            <w:r w:rsidRPr="007E0445">
              <w:rPr>
                <w:rFonts w:ascii="Times New Roman" w:hAnsi="Times New Roman" w:cs="Times New Roman"/>
                <w:b/>
                <w:sz w:val="20"/>
                <w:szCs w:val="20"/>
                <w:highlight w:val="yellow"/>
              </w:rPr>
              <w:t>……..</w:t>
            </w:r>
          </w:p>
        </w:tc>
        <w:tc>
          <w:tcPr>
            <w:tcW w:w="1559" w:type="dxa"/>
            <w:shd w:val="clear" w:color="auto" w:fill="FFFFFF"/>
          </w:tcPr>
          <w:p w:rsidR="00CC680C" w:rsidRPr="007E0445" w:rsidRDefault="00CC680C" w:rsidP="00CC680C">
            <w:pPr>
              <w:jc w:val="center"/>
              <w:rPr>
                <w:highlight w:val="yellow"/>
              </w:rPr>
            </w:pPr>
            <w:r w:rsidRPr="007E0445">
              <w:rPr>
                <w:rFonts w:ascii="Times New Roman" w:hAnsi="Times New Roman" w:cs="Times New Roman"/>
                <w:b/>
                <w:sz w:val="20"/>
                <w:szCs w:val="20"/>
                <w:highlight w:val="yellow"/>
              </w:rPr>
              <w:t>……..</w:t>
            </w:r>
          </w:p>
        </w:tc>
        <w:tc>
          <w:tcPr>
            <w:tcW w:w="2268" w:type="dxa"/>
            <w:shd w:val="clear" w:color="auto" w:fill="FFFFFF"/>
          </w:tcPr>
          <w:p w:rsidR="00CC680C" w:rsidRPr="007E0445" w:rsidRDefault="00CC680C" w:rsidP="00CC680C">
            <w:pPr>
              <w:jc w:val="center"/>
              <w:rPr>
                <w:highlight w:val="yellow"/>
              </w:rPr>
            </w:pPr>
            <w:r w:rsidRPr="007E0445">
              <w:rPr>
                <w:rFonts w:ascii="Times New Roman" w:hAnsi="Times New Roman" w:cs="Times New Roman"/>
                <w:b/>
                <w:sz w:val="20"/>
                <w:szCs w:val="20"/>
                <w:highlight w:val="yellow"/>
              </w:rPr>
              <w:t>……..</w:t>
            </w:r>
          </w:p>
        </w:tc>
      </w:tr>
      <w:tr w:rsidR="00CC680C" w:rsidRPr="007E0445" w:rsidTr="00CC680C">
        <w:trPr>
          <w:tblCellSpacing w:w="5" w:type="nil"/>
        </w:trPr>
        <w:tc>
          <w:tcPr>
            <w:tcW w:w="567" w:type="dxa"/>
            <w:shd w:val="clear" w:color="auto" w:fill="FFFFFF"/>
          </w:tcPr>
          <w:p w:rsidR="00CC680C" w:rsidRPr="007E0445" w:rsidRDefault="00CC680C" w:rsidP="00CC680C">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2.</w:t>
            </w:r>
          </w:p>
        </w:tc>
        <w:tc>
          <w:tcPr>
            <w:tcW w:w="1905" w:type="dxa"/>
            <w:shd w:val="clear" w:color="auto" w:fill="FFFFFF"/>
          </w:tcPr>
          <w:p w:rsidR="00CC680C" w:rsidRPr="007E0445" w:rsidRDefault="00CC680C" w:rsidP="00CC680C">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w:t>
            </w:r>
          </w:p>
        </w:tc>
        <w:tc>
          <w:tcPr>
            <w:tcW w:w="1134" w:type="dxa"/>
            <w:shd w:val="clear" w:color="auto" w:fill="FFFFFF"/>
          </w:tcPr>
          <w:p w:rsidR="00CC680C" w:rsidRPr="007E0445" w:rsidRDefault="00CC680C" w:rsidP="00CC680C">
            <w:pPr>
              <w:rPr>
                <w:highlight w:val="yellow"/>
              </w:rPr>
            </w:pPr>
            <w:r w:rsidRPr="007E0445">
              <w:rPr>
                <w:rFonts w:ascii="Times New Roman" w:hAnsi="Times New Roman" w:cs="Times New Roman"/>
                <w:b/>
                <w:sz w:val="20"/>
                <w:szCs w:val="20"/>
                <w:highlight w:val="yellow"/>
              </w:rPr>
              <w:t>……..</w:t>
            </w:r>
          </w:p>
        </w:tc>
        <w:tc>
          <w:tcPr>
            <w:tcW w:w="850" w:type="dxa"/>
            <w:shd w:val="clear" w:color="auto" w:fill="FFFFFF"/>
          </w:tcPr>
          <w:p w:rsidR="00CC680C" w:rsidRPr="007E0445" w:rsidRDefault="00CC680C" w:rsidP="00CC680C">
            <w:pPr>
              <w:rPr>
                <w:highlight w:val="yellow"/>
              </w:rPr>
            </w:pPr>
            <w:r w:rsidRPr="007E0445">
              <w:rPr>
                <w:rFonts w:ascii="Times New Roman" w:hAnsi="Times New Roman" w:cs="Times New Roman"/>
                <w:b/>
                <w:sz w:val="20"/>
                <w:szCs w:val="20"/>
                <w:highlight w:val="yellow"/>
              </w:rPr>
              <w:t>……..</w:t>
            </w:r>
          </w:p>
        </w:tc>
        <w:tc>
          <w:tcPr>
            <w:tcW w:w="1276" w:type="dxa"/>
            <w:shd w:val="clear" w:color="auto" w:fill="FFFFFF"/>
          </w:tcPr>
          <w:p w:rsidR="00CC680C" w:rsidRPr="007E0445" w:rsidRDefault="00CC680C" w:rsidP="00CC680C">
            <w:pPr>
              <w:jc w:val="center"/>
              <w:rPr>
                <w:highlight w:val="yellow"/>
              </w:rPr>
            </w:pPr>
            <w:r w:rsidRPr="007E0445">
              <w:rPr>
                <w:rFonts w:ascii="Times New Roman" w:hAnsi="Times New Roman" w:cs="Times New Roman"/>
                <w:b/>
                <w:sz w:val="20"/>
                <w:szCs w:val="20"/>
                <w:highlight w:val="yellow"/>
              </w:rPr>
              <w:t>……..</w:t>
            </w:r>
          </w:p>
        </w:tc>
        <w:tc>
          <w:tcPr>
            <w:tcW w:w="1559" w:type="dxa"/>
            <w:shd w:val="clear" w:color="auto" w:fill="FFFFFF"/>
          </w:tcPr>
          <w:p w:rsidR="00CC680C" w:rsidRPr="007E0445" w:rsidRDefault="00CC680C" w:rsidP="00CC680C">
            <w:pPr>
              <w:jc w:val="center"/>
              <w:rPr>
                <w:highlight w:val="yellow"/>
              </w:rPr>
            </w:pPr>
            <w:r w:rsidRPr="007E0445">
              <w:rPr>
                <w:rFonts w:ascii="Times New Roman" w:hAnsi="Times New Roman" w:cs="Times New Roman"/>
                <w:b/>
                <w:sz w:val="20"/>
                <w:szCs w:val="20"/>
                <w:highlight w:val="yellow"/>
              </w:rPr>
              <w:t>……..</w:t>
            </w:r>
          </w:p>
        </w:tc>
        <w:tc>
          <w:tcPr>
            <w:tcW w:w="2268" w:type="dxa"/>
            <w:shd w:val="clear" w:color="auto" w:fill="FFFFFF"/>
          </w:tcPr>
          <w:p w:rsidR="00CC680C" w:rsidRPr="007E0445" w:rsidRDefault="00CC680C" w:rsidP="00CC680C">
            <w:pPr>
              <w:jc w:val="center"/>
              <w:rPr>
                <w:highlight w:val="yellow"/>
              </w:rPr>
            </w:pPr>
            <w:r w:rsidRPr="007E0445">
              <w:rPr>
                <w:rFonts w:ascii="Times New Roman" w:hAnsi="Times New Roman" w:cs="Times New Roman"/>
                <w:b/>
                <w:sz w:val="20"/>
                <w:szCs w:val="20"/>
                <w:highlight w:val="yellow"/>
              </w:rPr>
              <w:t>……..</w:t>
            </w:r>
          </w:p>
        </w:tc>
      </w:tr>
      <w:tr w:rsidR="00CC680C" w:rsidRPr="007E0445" w:rsidTr="00CC680C">
        <w:trPr>
          <w:tblCellSpacing w:w="5" w:type="nil"/>
        </w:trPr>
        <w:tc>
          <w:tcPr>
            <w:tcW w:w="567"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7E0445" w:rsidRDefault="00CC680C" w:rsidP="00232152">
            <w:pPr>
              <w:spacing w:after="0" w:line="240" w:lineRule="auto"/>
              <w:jc w:val="center"/>
              <w:rPr>
                <w:rFonts w:ascii="Times New Roman" w:hAnsi="Times New Roman" w:cs="Times New Roman"/>
                <w:b/>
                <w:sz w:val="20"/>
                <w:szCs w:val="20"/>
                <w:highlight w:val="yellow"/>
              </w:rPr>
            </w:pPr>
            <w:r w:rsidRPr="007E0445">
              <w:rPr>
                <w:rFonts w:ascii="Times New Roman" w:hAnsi="Times New Roman" w:cs="Times New Roman"/>
                <w:b/>
                <w:sz w:val="20"/>
                <w:szCs w:val="20"/>
                <w:highlight w:val="yellow"/>
              </w:rPr>
              <w:t xml:space="preserve">ИТОГО </w:t>
            </w:r>
          </w:p>
        </w:tc>
        <w:tc>
          <w:tcPr>
            <w:tcW w:w="1134"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7E0445" w:rsidRDefault="00CC680C" w:rsidP="003D3285">
            <w:pPr>
              <w:spacing w:after="0" w:line="240" w:lineRule="auto"/>
              <w:jc w:val="center"/>
              <w:rPr>
                <w:rFonts w:ascii="Times New Roman" w:hAnsi="Times New Roman" w:cs="Times New Roman"/>
                <w:b/>
                <w:sz w:val="20"/>
                <w:szCs w:val="20"/>
                <w:highlight w:val="yellow"/>
              </w:rPr>
            </w:pPr>
          </w:p>
        </w:tc>
      </w:tr>
    </w:tbl>
    <w:p w:rsidR="003D3285" w:rsidRPr="007E0445" w:rsidRDefault="003D3285" w:rsidP="003D3285">
      <w:pPr>
        <w:spacing w:after="0" w:line="240" w:lineRule="auto"/>
        <w:jc w:val="center"/>
        <w:rPr>
          <w:rFonts w:ascii="Times New Roman" w:hAnsi="Times New Roman" w:cs="Times New Roman"/>
          <w:b/>
          <w:sz w:val="20"/>
          <w:szCs w:val="20"/>
          <w:highlight w:val="yellow"/>
        </w:rPr>
      </w:pPr>
    </w:p>
    <w:p w:rsidR="00B8703F" w:rsidRPr="007E0445" w:rsidRDefault="00B8703F"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B8703F" w:rsidRPr="007E0445" w:rsidRDefault="00B8703F" w:rsidP="00B8703F">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7E0445">
        <w:rPr>
          <w:rFonts w:ascii="Times New Roman" w:hAnsi="Times New Roman" w:cs="Times New Roman"/>
          <w:b/>
          <w:sz w:val="20"/>
          <w:szCs w:val="20"/>
          <w:highlight w:val="yellow"/>
        </w:rPr>
        <w:t>Общая стоимость Товара по Договору не превысит _____________________</w:t>
      </w:r>
      <w:r w:rsidRPr="007E0445">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B8703F" w:rsidRPr="007E0445" w:rsidRDefault="00B8703F" w:rsidP="003D3285">
      <w:pPr>
        <w:spacing w:after="0" w:line="240" w:lineRule="auto"/>
        <w:rPr>
          <w:rFonts w:ascii="Times New Roman" w:hAnsi="Times New Roman" w:cs="Times New Roman"/>
          <w:b/>
          <w:sz w:val="20"/>
          <w:szCs w:val="20"/>
          <w:highlight w:val="yellow"/>
        </w:rPr>
      </w:pPr>
    </w:p>
    <w:p w:rsidR="00B8703F" w:rsidRPr="007E0445" w:rsidRDefault="00B8703F" w:rsidP="003D3285">
      <w:pPr>
        <w:spacing w:after="0" w:line="240" w:lineRule="auto"/>
        <w:rPr>
          <w:rFonts w:ascii="Times New Roman" w:hAnsi="Times New Roman" w:cs="Times New Roman"/>
          <w:b/>
          <w:sz w:val="20"/>
          <w:szCs w:val="20"/>
          <w:highlight w:val="yellow"/>
        </w:rPr>
      </w:pPr>
    </w:p>
    <w:p w:rsidR="003D3285" w:rsidRPr="007E0445" w:rsidRDefault="003D3285" w:rsidP="003D3285">
      <w:pPr>
        <w:spacing w:after="0" w:line="240" w:lineRule="auto"/>
        <w:rPr>
          <w:rFonts w:ascii="Times New Roman" w:hAnsi="Times New Roman" w:cs="Times New Roman"/>
          <w:b/>
          <w:i/>
          <w:sz w:val="20"/>
          <w:szCs w:val="20"/>
          <w:highlight w:val="yellow"/>
        </w:rPr>
      </w:pPr>
      <w:r w:rsidRPr="007E0445">
        <w:rPr>
          <w:rFonts w:ascii="Times New Roman" w:hAnsi="Times New Roman" w:cs="Times New Roman"/>
          <w:b/>
          <w:sz w:val="20"/>
          <w:szCs w:val="20"/>
          <w:highlight w:val="yellow"/>
        </w:rPr>
        <w:t xml:space="preserve">Уполномоченный представитель                                           </w:t>
      </w:r>
      <w:r w:rsidRPr="007E0445">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E0445">
        <w:rPr>
          <w:rFonts w:ascii="Times New Roman" w:hAnsi="Times New Roman" w:cs="Times New Roman"/>
          <w:b/>
          <w:i/>
          <w:sz w:val="20"/>
          <w:szCs w:val="20"/>
          <w:highlight w:val="yellow"/>
        </w:rPr>
        <w:tab/>
      </w:r>
      <w:r w:rsidRPr="007E0445">
        <w:rPr>
          <w:rFonts w:ascii="Times New Roman" w:hAnsi="Times New Roman" w:cs="Times New Roman"/>
          <w:b/>
          <w:i/>
          <w:sz w:val="20"/>
          <w:szCs w:val="20"/>
          <w:highlight w:val="yellow"/>
        </w:rPr>
        <w:tab/>
      </w:r>
      <w:r w:rsidRPr="007E0445">
        <w:rPr>
          <w:rFonts w:ascii="Times New Roman" w:hAnsi="Times New Roman" w:cs="Times New Roman"/>
          <w:b/>
          <w:i/>
          <w:sz w:val="20"/>
          <w:szCs w:val="20"/>
          <w:highlight w:val="yellow"/>
        </w:rPr>
        <w:tab/>
      </w:r>
      <w:r w:rsidRPr="007E0445">
        <w:rPr>
          <w:rFonts w:ascii="Times New Roman" w:hAnsi="Times New Roman" w:cs="Times New Roman"/>
          <w:b/>
          <w:i/>
          <w:sz w:val="20"/>
          <w:szCs w:val="20"/>
          <w:highlight w:val="yellow"/>
        </w:rPr>
        <w:tab/>
      </w:r>
      <w:r w:rsidRPr="007E0445">
        <w:rPr>
          <w:rFonts w:ascii="Times New Roman" w:hAnsi="Times New Roman" w:cs="Times New Roman"/>
          <w:b/>
          <w:i/>
          <w:sz w:val="20"/>
          <w:szCs w:val="20"/>
          <w:highlight w:val="yellow"/>
        </w:rPr>
        <w:tab/>
      </w:r>
      <w:r w:rsidRPr="007E0445">
        <w:rPr>
          <w:rFonts w:ascii="Times New Roman" w:hAnsi="Times New Roman" w:cs="Times New Roman"/>
          <w:b/>
          <w:i/>
          <w:sz w:val="20"/>
          <w:szCs w:val="20"/>
          <w:highlight w:val="yellow"/>
          <w:vertAlign w:val="superscript"/>
        </w:rPr>
        <w:tab/>
        <w:t xml:space="preserve">(подпись)  </w:t>
      </w:r>
      <w:r w:rsidRPr="007E0445">
        <w:rPr>
          <w:rFonts w:ascii="Times New Roman" w:hAnsi="Times New Roman" w:cs="Times New Roman"/>
          <w:b/>
          <w:i/>
          <w:sz w:val="20"/>
          <w:szCs w:val="20"/>
          <w:highlight w:val="yellow"/>
          <w:vertAlign w:val="superscript"/>
        </w:rPr>
        <w:tab/>
      </w:r>
      <w:r w:rsidRPr="007E0445">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55" w:rsidRDefault="00755955" w:rsidP="00060F63">
      <w:pPr>
        <w:spacing w:after="0" w:line="240" w:lineRule="auto"/>
      </w:pPr>
      <w:r>
        <w:separator/>
      </w:r>
    </w:p>
  </w:endnote>
  <w:endnote w:type="continuationSeparator" w:id="0">
    <w:p w:rsidR="00755955" w:rsidRDefault="00755955"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55" w:rsidRDefault="00755955" w:rsidP="00060F63">
      <w:pPr>
        <w:spacing w:after="0" w:line="240" w:lineRule="auto"/>
      </w:pPr>
      <w:r>
        <w:separator/>
      </w:r>
    </w:p>
  </w:footnote>
  <w:footnote w:type="continuationSeparator" w:id="0">
    <w:p w:rsidR="00755955" w:rsidRDefault="00755955"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479C4"/>
    <w:rsid w:val="001A2CE9"/>
    <w:rsid w:val="0022130D"/>
    <w:rsid w:val="00232152"/>
    <w:rsid w:val="0028486A"/>
    <w:rsid w:val="002B19FB"/>
    <w:rsid w:val="00303DFC"/>
    <w:rsid w:val="00333BD4"/>
    <w:rsid w:val="003D21F1"/>
    <w:rsid w:val="003D3285"/>
    <w:rsid w:val="00430217"/>
    <w:rsid w:val="00472B2D"/>
    <w:rsid w:val="004E4C30"/>
    <w:rsid w:val="005103B3"/>
    <w:rsid w:val="00537277"/>
    <w:rsid w:val="00542F19"/>
    <w:rsid w:val="005727CB"/>
    <w:rsid w:val="005C4ACE"/>
    <w:rsid w:val="006055A8"/>
    <w:rsid w:val="00617D20"/>
    <w:rsid w:val="00627BAD"/>
    <w:rsid w:val="006E5667"/>
    <w:rsid w:val="0074370A"/>
    <w:rsid w:val="00755955"/>
    <w:rsid w:val="00756CE5"/>
    <w:rsid w:val="007663E2"/>
    <w:rsid w:val="00785689"/>
    <w:rsid w:val="007908C6"/>
    <w:rsid w:val="007972C7"/>
    <w:rsid w:val="007A30AC"/>
    <w:rsid w:val="007E0445"/>
    <w:rsid w:val="00862462"/>
    <w:rsid w:val="00865482"/>
    <w:rsid w:val="00884061"/>
    <w:rsid w:val="008B43C9"/>
    <w:rsid w:val="008F0B9D"/>
    <w:rsid w:val="00920FEB"/>
    <w:rsid w:val="00971872"/>
    <w:rsid w:val="00980FBF"/>
    <w:rsid w:val="009C5AD9"/>
    <w:rsid w:val="00A21236"/>
    <w:rsid w:val="00A27BAA"/>
    <w:rsid w:val="00A61039"/>
    <w:rsid w:val="00A71002"/>
    <w:rsid w:val="00A86CED"/>
    <w:rsid w:val="00AF2D77"/>
    <w:rsid w:val="00B45833"/>
    <w:rsid w:val="00B463C3"/>
    <w:rsid w:val="00B853C5"/>
    <w:rsid w:val="00B86630"/>
    <w:rsid w:val="00B8703F"/>
    <w:rsid w:val="00BC6997"/>
    <w:rsid w:val="00C10283"/>
    <w:rsid w:val="00C123B9"/>
    <w:rsid w:val="00C21AC2"/>
    <w:rsid w:val="00C97288"/>
    <w:rsid w:val="00CB606E"/>
    <w:rsid w:val="00CC55EF"/>
    <w:rsid w:val="00CC680C"/>
    <w:rsid w:val="00CE4E2F"/>
    <w:rsid w:val="00CF5FAD"/>
    <w:rsid w:val="00D24096"/>
    <w:rsid w:val="00D5717D"/>
    <w:rsid w:val="00D719A3"/>
    <w:rsid w:val="00D832BC"/>
    <w:rsid w:val="00DA5B71"/>
    <w:rsid w:val="00DE5C19"/>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68B5"/>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7E044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E0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DAA6-8E91-4F4E-8F28-AF9C858C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3974</Words>
  <Characters>22655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cp:lastPrinted>2026-06-03T11:33:00Z</cp:lastPrinted>
  <dcterms:created xsi:type="dcterms:W3CDTF">2026-06-01T13:58:00Z</dcterms:created>
  <dcterms:modified xsi:type="dcterms:W3CDTF">2026-06-03T11:33:00Z</dcterms:modified>
</cp:coreProperties>
</file>