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5886450" cy="8826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tabs>
          <w:tab w:val="clear" w:pos="708"/>
          <w:tab w:val="left" w:pos="9555" w:leader="none"/>
        </w:tabs>
        <w:spacing w:before="0" w:after="0"/>
        <w:ind w:left="0" w:hanging="0"/>
        <w:jc w:val="center"/>
        <w:outlineLvl w:val="9"/>
        <w:rPr/>
      </w:pPr>
      <w:r>
        <w:rPr>
          <w:rFonts w:ascii="Times New Roman" w:hAnsi="Times New Roman"/>
          <w:sz w:val="24"/>
          <w:szCs w:val="24"/>
        </w:rPr>
        <w:t xml:space="preserve">Запрос технико-коммерческих предложений потенциальных поставщиков на </w:t>
      </w:r>
      <w:bookmarkStart w:id="0" w:name="_GoBack"/>
      <w:r>
        <w:rPr>
          <w:rFonts w:ascii="Times New Roman" w:hAnsi="Times New Roman"/>
          <w:sz w:val="24"/>
          <w:szCs w:val="24"/>
        </w:rPr>
        <w:t>поставку насосов электрических трансформаторных МТ100/8У1</w:t>
      </w:r>
      <w:bookmarkEnd w:id="0"/>
      <w:r>
        <w:rPr>
          <w:rFonts w:ascii="Times New Roman" w:hAnsi="Times New Roman"/>
          <w:sz w:val="24"/>
          <w:szCs w:val="24"/>
        </w:rPr>
        <w:t xml:space="preserve"> для нужд Филиала ПАО "РусГидро"-"Бурейская ГЭС"»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Публичное акционерное общество «Федеральная гидрогенерирующая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bCs/>
          <w:sz w:val="24"/>
          <w:szCs w:val="24"/>
        </w:rPr>
        <w:t>на право заключения договора на поставку насосов электрических трансформаторных МТ100/8У1 для нужд Филиала ПАО "РусГидро"-"Бурейская ГЭС".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юридический адрес, почтовый адрес, ИНН (</w:t>
      </w:r>
      <w:r>
        <w:rPr>
          <w:rStyle w:val="Style8"/>
          <w:b w:val="false"/>
          <w:sz w:val="24"/>
          <w:szCs w:val="24"/>
          <w:shd w:fill="auto" w:val="clear"/>
        </w:rPr>
        <w:t>для юридических лиц)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>паспортные данные, адрес регистрации, ИНН (при наличии) (</w:t>
      </w:r>
      <w:r>
        <w:rPr>
          <w:i/>
          <w:sz w:val="24"/>
          <w:szCs w:val="24"/>
        </w:rPr>
        <w:t>для физических лиц</w:t>
      </w:r>
      <w:r>
        <w:rPr>
          <w:sz w:val="24"/>
          <w:szCs w:val="24"/>
        </w:rPr>
        <w:t>)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Срок подачи технико-коммерческих предложений: до 0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:00 (МСК) </w:t>
      </w:r>
      <w:r>
        <w:rPr>
          <w:sz w:val="24"/>
          <w:szCs w:val="24"/>
        </w:rPr>
        <w:t>11</w:t>
      </w:r>
      <w:r>
        <w:rPr>
          <w:sz w:val="24"/>
          <w:szCs w:val="24"/>
        </w:rPr>
        <w:t>.</w:t>
      </w:r>
      <w:r>
        <w:rPr>
          <w:sz w:val="24"/>
          <w:szCs w:val="24"/>
        </w:rPr>
        <w:t>06</w:t>
      </w:r>
      <w:r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>
        <w:rPr>
          <w:sz w:val="24"/>
          <w:szCs w:val="24"/>
        </w:rPr>
        <w:t>г.</w:t>
      </w:r>
    </w:p>
    <w:p>
      <w:pPr>
        <w:pStyle w:val="Normal"/>
        <w:keepNext w:val="true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в адрес: Электронная (торговая) площадка: АО «Российский аукционный дом» </w:t>
      </w:r>
      <w:hyperlink r:id="rId3">
        <w:r>
          <w:rPr>
            <w:rStyle w:val="Hyperlink"/>
            <w:sz w:val="24"/>
            <w:szCs w:val="24"/>
          </w:rPr>
          <w:t>https://tender.lot-online.ru</w:t>
        </w:r>
      </w:hyperlink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1083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Application>AlterOffice/3.4.0.9$Linux_X86_64 LibreOffice_project/b8daf9e823b1a5463a2f48435ddc2e8696e7d4fc</Application>
  <AppVersion>15.0000</AppVersion>
  <Pages>2</Pages>
  <Words>468</Words>
  <Characters>3361</Characters>
  <CharactersWithSpaces>3785</CharactersWithSpaces>
  <Paragraphs>25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2024-09-20T00:22:00Z</dcterms:created>
  <dc:creator>Лысенко Екатерина Алексеевна</dc:creator>
  <dc:description/>
  <dc:language>ru-RU</dc:language>
  <cp:lastModifiedBy>Иляна Алексеевна Кузьменко</cp:lastModifiedBy>
  <dcterms:modified xsi:type="dcterms:W3CDTF">2026-06-04T08:13:42Z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