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media/image9.wmf" ContentType="image/x-wmf"/>
  <Override PartName="/word/media/image19.wmf" ContentType="image/x-wmf"/>
  <Override PartName="/word/media/image8.wmf" ContentType="image/x-wmf"/>
  <Override PartName="/word/media/image18.wmf" ContentType="image/x-wmf"/>
  <Override PartName="/word/media/image20.wmf" ContentType="image/x-wmf"/>
  <Override PartName="/word/media/image7.wmf" ContentType="image/x-wmf"/>
  <Override PartName="/word/media/image6.wmf" ContentType="image/x-wmf"/>
  <Override PartName="/word/media/image16.wmf" ContentType="image/x-wmf"/>
  <Override PartName="/word/media/image17.png" ContentType="image/png"/>
  <Override PartName="/word/media/image4.wmf" ContentType="image/x-wmf"/>
  <Override PartName="/word/media/image14.wmf" ContentType="image/x-wmf"/>
  <Override PartName="/word/media/image11.wmf" ContentType="image/x-wmf"/>
  <Override PartName="/word/media/image13.wmf" ContentType="image/x-wmf"/>
  <Override PartName="/word/media/image3.wmf" ContentType="image/x-wmf"/>
  <Override PartName="/word/media/image12.wmf" ContentType="image/x-wmf"/>
  <Override PartName="/word/media/image2.wmf" ContentType="image/x-wmf"/>
  <Override PartName="/word/media/image1.png" ContentType="image/png"/>
  <Override PartName="/word/media/image10.wmf" ContentType="image/x-wmf"/>
  <Override PartName="/word/media/image5.wmf" ContentType="image/x-wmf"/>
  <Override PartName="/word/media/image15.wmf" ContentType="image/x-wmf"/>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 xml:space="preserve">Договор № </w:t>
      </w:r>
      <w:r>
        <w:rPr>
          <w:b/>
          <w:lang w:val="ru-RU"/>
        </w:rPr>
        <w:t xml:space="preserve">19-НИР-2026-ДФ </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w:t>
      </w:r>
      <w:r>
        <w:rPr>
          <w:rFonts w:eastAsia="Times New Roman" w:cs="Times New Roman"/>
          <w:sz w:val="24"/>
          <w:szCs w:val="24"/>
          <w:lang w:val="x-none"/>
        </w:rPr>
        <w:t xml:space="preserve">в лице директора филиала ПАО «РусГидро» - «Дагестанский филиал» Гамзатова Тимура Гамзатовича, действующего на основании машиночитаемой доверенности № ab9bb1e7-b060-4bcb-8bb8-51489b6a39ec от 15.01.2025., </w:t>
      </w:r>
      <w:r>
        <w:rPr>
          <w:sz w:val="24"/>
          <w:szCs w:val="24"/>
          <w:lang w:val="ru-RU"/>
        </w:rPr>
        <w:t xml:space="preserve">с одной стороны, и 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rPr>
          <w:lang w:val="ru-RU" w:eastAsia="en-US"/>
        </w:rPr>
      </w:pPr>
      <w:r>
        <w:rPr>
          <w:lang w:val="ru-RU" w:eastAsia="en-US"/>
        </w:rPr>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b/>
          <w:bCs/>
          <w:sz w:val="24"/>
          <w:szCs w:val="24"/>
        </w:rPr>
        <w:t>проведени</w:t>
      </w:r>
      <w:r>
        <w:rPr>
          <w:b/>
          <w:bCs/>
          <w:sz w:val="24"/>
          <w:szCs w:val="24"/>
        </w:rPr>
        <w:t>ю</w:t>
      </w:r>
      <w:r>
        <w:rPr>
          <w:b/>
          <w:bCs/>
          <w:sz w:val="24"/>
          <w:szCs w:val="24"/>
        </w:rPr>
        <w:t xml:space="preserve">  экспертизы промышленной безопасности сосудов и ресиверов, технического диагностирования и первичного технического освидетельствования резервуаров и сосудов филиала ПАО «РусГидро» - «Дагестанский филиал»</w:t>
      </w:r>
    </w:p>
    <w:p>
      <w:pPr>
        <w:pStyle w:val="ListParagraph"/>
        <w:numPr>
          <w:ilvl w:val="1"/>
          <w:numId w:val="3"/>
        </w:numPr>
        <w:shd w:val="clear" w:color="auto" w:fill="FFFFFF"/>
        <w:tabs>
          <w:tab w:val="clear" w:pos="709"/>
          <w:tab w:val="left" w:pos="1134" w:leader="none"/>
        </w:tabs>
        <w:ind w:left="0" w:firstLine="709"/>
        <w:jc w:val="both"/>
        <w:rPr/>
      </w:pPr>
      <w:r>
        <w:rPr>
          <w:sz w:val="24"/>
          <w:szCs w:val="24"/>
          <w:highlight w:val="lightGray"/>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rFonts w:eastAsia="Times New Roman" w:cs="Times New Roman"/>
          <w:bCs/>
          <w:sz w:val="24"/>
          <w:szCs w:val="24"/>
          <w:lang w:val="ru-RU" w:eastAsia="ru-RU"/>
        </w:rPr>
        <w:t xml:space="preserve">филиала ПАО «РусГидро» - «Дагестанский филиал».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9"/>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4"/>
        </w:numPr>
        <w:shd w:val="clear" w:color="auto" w:fill="FFFFFF"/>
        <w:tabs>
          <w:tab w:val="clear" w:pos="709"/>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4"/>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4"/>
        </w:numPr>
        <w:shd w:val="clear" w:color="auto" w:fill="FFFFFF"/>
        <w:tabs>
          <w:tab w:val="clear" w:pos="709"/>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0"/>
        </w:numPr>
        <w:shd w:val="clear" w:color="auto" w:fill="FFFFFF"/>
        <w:tabs>
          <w:tab w:val="clear" w:pos="709"/>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21"/>
        </w:numPr>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FootnoteReference"/>
          <w:bCs/>
          <w:highlight w:val="lightGray"/>
        </w:rPr>
        <w:footnoteReference w:id="3"/>
      </w:r>
      <w:r>
        <w:rPr>
          <w:bCs/>
        </w:rPr>
        <w:t>.</w:t>
      </w:r>
    </w:p>
    <w:p>
      <w:pPr>
        <w:pStyle w:val="ListParagraph"/>
        <w:numPr>
          <w:ilvl w:val="1"/>
          <w:numId w:val="21"/>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21"/>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7 к Договору</w:t>
      </w:r>
      <w:r>
        <w:rPr>
          <w:rStyle w:val="FootnoteReference"/>
          <w:highlight w:val="lightGray"/>
        </w:rPr>
        <w:footnoteReference w:id="4"/>
      </w:r>
      <w:r>
        <w:rPr>
          <w:highlight w:val="lightGray"/>
        </w:rPr>
        <w:t>.</w:t>
      </w:r>
    </w:p>
    <w:p>
      <w:pPr>
        <w:pStyle w:val="ListParagraph"/>
        <w:numPr>
          <w:ilvl w:val="1"/>
          <w:numId w:val="21"/>
        </w:numPr>
        <w:tabs>
          <w:tab w:val="left" w:pos="709" w:leader="none"/>
          <w:tab w:val="left" w:pos="851"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2.4.5,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5"/>
      </w:r>
      <w:r>
        <w:rPr>
          <w:bCs/>
        </w:rPr>
        <w:t>.</w:t>
      </w:r>
    </w:p>
    <w:p>
      <w:pPr>
        <w:pStyle w:val="ListParagraph"/>
        <w:numPr>
          <w:ilvl w:val="1"/>
          <w:numId w:val="27"/>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7"/>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1" w:name="_Ref373240288"/>
      <w:bookmarkStart w:id="12" w:name="_Ref361834178"/>
      <w:bookmarkEnd w:id="12"/>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6"/>
      </w:r>
      <w:r>
        <w:rPr/>
        <w:t xml:space="preserve">, но не ранее чем за 30 (тридцать) календарных дней до даты начала оказания Услуг и с учетом пунктов 3.5.1 и 3.5.4 Договора. </w:t>
      </w:r>
      <w:bookmarkEnd w:id="11"/>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7"/>
      </w:r>
      <w:r>
        <w:rPr/>
        <w:t xml:space="preserve"> / </w:t>
      </w:r>
      <w:r>
        <w:rPr>
          <w:highlight w:val="lightGray"/>
        </w:rPr>
        <w:t>45 (сорока пяти) календарных дней</w:t>
      </w:r>
      <w:r>
        <w:rPr>
          <w:rStyle w:val="FootnoteReference"/>
          <w:highlight w:val="lightGray"/>
        </w:rPr>
        <w:footnoteReference w:id="8"/>
      </w:r>
      <w:r>
        <w:rPr/>
        <w:t xml:space="preserve"> / </w:t>
      </w:r>
      <w:r>
        <w:rPr>
          <w:highlight w:val="lightGray"/>
        </w:rPr>
        <w:t>7 (семи) рабочих дней</w:t>
      </w:r>
      <w:r>
        <w:rPr>
          <w:rStyle w:val="FootnoteReference"/>
          <w:highlight w:val="lightGray"/>
        </w:rPr>
        <w:footnoteReference w:id="9"/>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numPr>
          <w:ilvl w:val="0"/>
          <w:numId w:val="0"/>
        </w:numPr>
        <w:shd w:val="clear" w:color="auto" w:fill="FFFFFF"/>
        <w:tabs>
          <w:tab w:val="clear" w:pos="709"/>
          <w:tab w:val="left" w:pos="284" w:leader="none"/>
          <w:tab w:val="left" w:pos="1134" w:leader="none"/>
        </w:tabs>
        <w:ind w:left="0" w:hanging="0"/>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numPr>
          <w:ilvl w:val="2"/>
          <w:numId w:val="25"/>
        </w:numPr>
        <w:shd w:val="clear" w:color="auto" w:fill="FFFFFF"/>
        <w:tabs>
          <w:tab w:val="clear" w:pos="709"/>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10"/>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1"/>
      </w:r>
      <w:r>
        <w:rPr>
          <w:highlight w:val="lightGray"/>
        </w:rPr>
        <w:t>.</w:t>
      </w:r>
    </w:p>
    <w:p>
      <w:pPr>
        <w:pStyle w:val="ListParagraph"/>
        <w:numPr>
          <w:ilvl w:val="1"/>
          <w:numId w:val="2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highlight w:val="lightGray"/>
        </w:rPr>
      </w:pPr>
      <w:r>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Размер упущенной выгоды (выручки) подтверждается (по выбору Заказчика):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rPr>
      </w:pPr>
      <w:r>
        <w:rPr>
          <w:szCs w:val="28"/>
          <w:highlight w:val="lightGray"/>
        </w:rPr>
        <w:t>в ценовых зонах:</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rPr>
      </w:pPr>
      <w:r>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Cs w:val="28"/>
          <w:highlight w:val="lightGray"/>
        </w:rPr>
        <w:t>(далее – Ассоциация «НП Совета рынка»).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lang w:val="ru-RU"/>
        </w:rPr>
      </w:pPr>
      <w:r>
        <w:rPr>
          <w:szCs w:val="28"/>
          <w:highlight w:val="lightGray"/>
          <w:lang w:val="ru-RU"/>
        </w:rPr>
        <w:t xml:space="preserve">в неценовой зоне Дальнего Востока: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FootnoteReference"/>
          <w:szCs w:val="28"/>
          <w:highlight w:val="lightGray"/>
        </w:rPr>
        <w:footnoteReference w:id="12"/>
      </w:r>
      <w:r>
        <w:rPr>
          <w:szCs w:val="28"/>
          <w:highlight w:val="lightGray"/>
        </w:rPr>
        <w:t>.</w:t>
      </w:r>
    </w:p>
    <w:p>
      <w:pPr>
        <w:pStyle w:val="Normal"/>
        <w:shd w:val="clear" w:color="auto" w:fill="D9D9D9" w:themeFill="background1" w:themeFillShade="d9"/>
        <w:tabs>
          <w:tab w:val="clear" w:pos="709"/>
          <w:tab w:val="left" w:pos="1134" w:leader="none"/>
        </w:tabs>
        <w:ind w:firstLine="709"/>
        <w:jc w:val="both"/>
        <w:rPr>
          <w:szCs w:val="28"/>
          <w:lang w:val="ru-RU"/>
        </w:rPr>
      </w:pPr>
      <w:r>
        <w:rPr>
          <w:szCs w:val="28"/>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8 к Договору.</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s>
        <w:ind w:left="0" w:firstLine="709"/>
        <w:jc w:val="both"/>
        <w:rPr/>
      </w:pPr>
      <w:r>
        <w:rPr/>
      </w:r>
    </w:p>
    <w:p>
      <w:pPr>
        <w:pStyle w:val="ListParagraph"/>
        <w:shd w:val="clear" w:color="auto" w:fill="FFFFFF"/>
        <w:tabs>
          <w:tab w:val="clear" w:pos="709"/>
          <w:tab w:val="left" w:pos="1134" w:leader="none"/>
        </w:tabs>
        <w:ind w:left="0" w:firstLine="709"/>
        <w:jc w:val="both"/>
        <w:rPr/>
      </w:pPr>
      <w:r>
        <w:rPr/>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8"/>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3"/>
      </w:r>
      <w:r>
        <w:rPr>
          <w:highlight w:val="lightGray"/>
          <w:lang w:val="ru-RU" w:eastAsia="en-US"/>
        </w:rPr>
        <w:t>.</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8"/>
        </w:numPr>
        <w:shd w:val="clear" w:color="auto" w:fill="FFFFFF"/>
        <w:tabs>
          <w:tab w:val="clear" w:pos="709"/>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4"/>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jc w:val="both"/>
        <w:rPr>
          <w:lang w:val="ru-RU"/>
        </w:rPr>
      </w:pPr>
      <w:r>
        <w:rPr>
          <w:highlight w:val="lightGray"/>
          <w:lang w:val="ru-RU"/>
        </w:rPr>
        <w:t>Приложение № 8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ПАО «РусГидро»</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Место нахождения: 660049, Красноярский край, г. Красноярск, ул. Перенсона,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зд. 2А, помещ. 1</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Филиал ПАО «РусГидро» - «Дагестанский филиал»</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Почтовый адрес: 368300. РД, г. Каспийск, ул.  М. Халилова, д. 5</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ИНН 2460066195 КПП 055443001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р/с 40702810260320004212</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в Ставропольском отделении №5230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ПАО Сбербанк, г. Ставрополь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к/с 30101810907020000615 </w:t>
            </w:r>
          </w:p>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sz w:val="24"/>
                <w:szCs w:val="24"/>
                <w:lang w:eastAsia="ru-RU"/>
              </w:rPr>
              <w:t>БИК 040702615</w:t>
            </w:r>
          </w:p>
          <w:p>
            <w:pPr>
              <w:pStyle w:val="Normal"/>
              <w:widowControl w:val="false"/>
              <w:spacing w:lineRule="auto" w:line="240" w:before="0" w:after="0"/>
              <w:rPr>
                <w:rFonts w:ascii="Times New Roman" w:hAnsi="Times New Roman" w:eastAsia="Times New Roman" w:cs="Times New Roman"/>
                <w:sz w:val="24"/>
                <w:szCs w:val="24"/>
                <w:lang w:val="en-US" w:eastAsia="ru-RU"/>
              </w:rPr>
            </w:pPr>
            <w:r>
              <w:rPr>
                <w:rFonts w:eastAsia="Times New Roman" w:cs="Times New Roman"/>
                <w:sz w:val="24"/>
                <w:szCs w:val="24"/>
                <w:lang w:val="en-US" w:eastAsia="ru-RU"/>
              </w:rPr>
            </w:r>
          </w:p>
          <w:p>
            <w:pPr>
              <w:pStyle w:val="Normal"/>
              <w:widowControl w:val="false"/>
              <w:spacing w:lineRule="auto" w:line="240" w:before="0" w:after="0"/>
              <w:rPr>
                <w:rFonts w:ascii="Times New Roman" w:hAnsi="Times New Roman" w:eastAsia="Times New Roman" w:cs="Times New Roman"/>
                <w:b/>
                <w:sz w:val="24"/>
                <w:szCs w:val="24"/>
                <w:lang w:val="en-US" w:eastAsia="ru-RU"/>
              </w:rPr>
            </w:pPr>
            <w:r>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spacing w:lineRule="auto" w:line="240" w:before="0" w:after="0"/>
              <w:rPr>
                <w:rFonts w:ascii="Times New Roman" w:hAnsi="Times New Roman" w:eastAsia="Times New Roman" w:cs="Times New Roman"/>
                <w:b/>
                <w:sz w:val="24"/>
                <w:szCs w:val="24"/>
                <w:lang w:val="en-US" w:eastAsia="ru-RU"/>
              </w:rPr>
            </w:pPr>
            <w:r>
              <w:rPr>
                <w:rFonts w:eastAsia="Times New Roman" w:cs="Times New Roman"/>
                <w:b/>
                <w:sz w:val="24"/>
                <w:szCs w:val="24"/>
                <w:lang w:eastAsia="ru-RU"/>
              </w:rPr>
              <w:t>З</w:t>
            </w:r>
            <w:r>
              <w:rPr>
                <w:rFonts w:eastAsia="Times New Roman" w:cs="Times New Roman"/>
                <w:b/>
                <w:sz w:val="24"/>
                <w:szCs w:val="24"/>
                <w:lang w:eastAsia="ru-RU"/>
              </w:rPr>
              <w:t>аказчик</w:t>
            </w:r>
            <w:r>
              <w:rPr>
                <w:rFonts w:eastAsia="Times New Roman" w:cs="Times New Roman"/>
                <w:b/>
                <w:sz w:val="24"/>
                <w:szCs w:val="24"/>
                <w:lang w:val="en-US"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Директор филиала ПАО «РусГидро»-</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«Дагестанский филиал»</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ru-RU" w:eastAsia="ru-RU"/>
              </w:rPr>
              <w:t>___________________/Т.Г. Гамзатов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15"/>
      </w:r>
      <w:r>
        <w:rPr>
          <w:lang w:val="ru-RU"/>
        </w:rPr>
        <w:t>, а также соответствовать следующим критериям:</w:t>
      </w:r>
    </w:p>
    <w:p>
      <w:pPr>
        <w:pStyle w:val="Normal"/>
        <w:numPr>
          <w:ilvl w:val="1"/>
          <w:numId w:val="32"/>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2"/>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2"/>
        </w:numPr>
        <w:tabs>
          <w:tab w:val="clear" w:pos="709"/>
          <w:tab w:val="left" w:pos="1134" w:leader="none"/>
        </w:tabs>
        <w:ind w:left="0" w:firstLine="710"/>
        <w:jc w:val="both"/>
        <w:rPr>
          <w:lang w:val="ru-RU"/>
        </w:rPr>
      </w:pPr>
      <w:r>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t>www</w:t>
      </w:r>
      <w:r>
        <w:rPr>
          <w:lang w:val="ru-RU"/>
        </w:rPr>
        <w:t>.</w:t>
      </w:r>
      <w:r>
        <w:rPr/>
        <w:t>cbr</w:t>
      </w:r>
      <w:r>
        <w:rPr>
          <w:lang w:val="ru-RU"/>
        </w:rPr>
        <w:t>.</w:t>
      </w:r>
      <w:r>
        <w:rPr/>
        <w:t>ru</w:t>
      </w:r>
      <w:r>
        <w:rPr>
          <w:lang w:val="ru-RU"/>
        </w:rPr>
        <w:t xml:space="preserve">) по строке 000 «Расчет собственных средств (капитала) («Базель </w:t>
      </w:r>
      <w:r>
        <w:rPr/>
        <w:t>III</w:t>
      </w:r>
      <w:r>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t>III</w:t>
      </w:r>
      <w:r>
        <w:rPr>
          <w:lang w:val="ru-RU"/>
        </w:rPr>
        <w:t>»)» (далее – Методика ЦБ РФ) или иным документом, его заменяющим (в случае изменения или отмены указанного Положения).</w:t>
      </w:r>
    </w:p>
    <w:p>
      <w:pPr>
        <w:pStyle w:val="Normal"/>
        <w:numPr>
          <w:ilvl w:val="1"/>
          <w:numId w:val="32"/>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16"/>
      </w:r>
      <w:r>
        <w:rPr>
          <w:lang w:val="ru-RU"/>
        </w:rPr>
        <w:t xml:space="preserve">. </w:t>
      </w:r>
    </w:p>
    <w:p>
      <w:pPr>
        <w:pStyle w:val="Normal"/>
        <w:numPr>
          <w:ilvl w:val="1"/>
          <w:numId w:val="32"/>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17"/>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2"/>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18"/>
      </w:r>
      <w:r>
        <w:rPr>
          <w:lang w:val="ru-RU"/>
        </w:rPr>
        <w:t>.</w:t>
      </w:r>
    </w:p>
    <w:p>
      <w:pPr>
        <w:pStyle w:val="Normal"/>
        <w:numPr>
          <w:ilvl w:val="1"/>
          <w:numId w:val="32"/>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3"/>
        </w:numPr>
        <w:tabs>
          <w:tab w:val="clear" w:pos="709"/>
          <w:tab w:val="left" w:pos="1134" w:leader="none"/>
        </w:tabs>
        <w:ind w:left="0" w:firstLine="709"/>
        <w:jc w:val="both"/>
        <w:rPr/>
      </w:pPr>
      <w:r>
        <w:rPr>
          <w:lang w:val="ru-RU"/>
        </w:rPr>
        <w:t xml:space="preserve"> </w:t>
      </w:r>
      <w:r>
        <w:rPr/>
        <w:t>ВЭБ.РФ.</w:t>
      </w:r>
    </w:p>
    <w:p>
      <w:pPr>
        <w:pStyle w:val="Normal"/>
        <w:numPr>
          <w:ilvl w:val="1"/>
          <w:numId w:val="32"/>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2"/>
        <w:gridCol w:w="8507"/>
      </w:tblGrid>
      <w:tr>
        <w:trPr>
          <w:trHeight w:val="426" w:hRule="atLeast"/>
        </w:trPr>
        <w:tc>
          <w:tcPr>
            <w:tcW w:w="817" w:type="dxa"/>
            <w:tcBorders/>
            <w:shd w:color="auto" w:fill="auto" w:val="clear"/>
          </w:tcPr>
          <w:p>
            <w:pPr>
              <w:pStyle w:val="Normal"/>
              <w:widowControl w:val="false"/>
              <w:ind w:right="-108" w:hanging="0"/>
              <w:jc w:val="both"/>
              <w:rPr>
                <w:color w:val="000000"/>
              </w:rPr>
            </w:pPr>
            <w:r>
              <w:rPr>
                <w:b/>
                <w:i/>
                <w:color w:val="000000"/>
              </w:rPr>
              <w:t>Lim</w:t>
            </w:r>
            <w:r>
              <w:rPr>
                <w:b/>
                <w:i/>
                <w:color w:val="000000"/>
                <w:vertAlign w:val="subscript"/>
                <w:lang w:val="en-US"/>
              </w:rPr>
              <w:t xml:space="preserve">Ai </w:t>
            </w:r>
          </w:p>
        </w:tc>
        <w:tc>
          <w:tcPr>
            <w:tcW w:w="282" w:type="dxa"/>
            <w:tcBorders/>
            <w:shd w:color="auto" w:fill="auto" w:val="clear"/>
          </w:tcPr>
          <w:p>
            <w:pPr>
              <w:pStyle w:val="Normal"/>
              <w:widowControl w:val="false"/>
              <w:ind w:left="317" w:right="-108" w:hanging="317"/>
              <w:jc w:val="both"/>
              <w:rPr>
                <w:color w:val="000000"/>
              </w:rPr>
            </w:pPr>
            <w:r>
              <w:rPr/>
              <w:t xml:space="preserve">-  </w:t>
            </w:r>
          </w:p>
        </w:tc>
        <w:tc>
          <w:tcPr>
            <w:tcW w:w="8507" w:type="dxa"/>
            <w:tcBorders/>
            <w:shd w:color="auto" w:fill="auto" w:val="clear"/>
          </w:tcPr>
          <w:p>
            <w:pPr>
              <w:pStyle w:val="Normal"/>
              <w:widowControl w:val="false"/>
              <w:ind w:left="-75" w:right="-108" w:hanging="0"/>
              <w:jc w:val="both"/>
              <w:rPr>
                <w:color w:val="000000"/>
                <w:lang w:val="ru-RU"/>
              </w:rPr>
            </w:pPr>
            <w:r>
              <w:rPr>
                <w:lang w:val="ru-RU"/>
              </w:rPr>
              <w:t xml:space="preserve">Лимит риска для </w:t>
            </w:r>
            <w:r>
              <w:rPr/>
              <w:t>i</w:t>
            </w:r>
            <w:r>
              <w:rPr>
                <w:lang w:val="ru-RU"/>
              </w:rPr>
              <w:t>-ой кредитной организации</w:t>
            </w:r>
            <w:r>
              <w:rPr>
                <w:rStyle w:val="FootnoteReference"/>
                <w:vertAlign w:val="superscript"/>
              </w:rPr>
              <w:footnoteReference w:id="19"/>
            </w:r>
            <w:r>
              <w:rPr>
                <w:vertAlign w:val="superscript"/>
                <w:lang w:val="ru-RU"/>
              </w:rPr>
              <w:t>.</w:t>
            </w:r>
            <w:r>
              <w:rPr>
                <w:lang w:val="ru-RU"/>
              </w:rPr>
              <w:t xml:space="preserve"> </w:t>
            </w:r>
          </w:p>
        </w:tc>
      </w:tr>
      <w:tr>
        <w:trPr>
          <w:trHeight w:val="280" w:hRule="atLeast"/>
        </w:trPr>
        <w:tc>
          <w:tcPr>
            <w:tcW w:w="817" w:type="dxa"/>
            <w:tcBorders/>
            <w:shd w:color="auto" w:fill="auto" w:val="clear"/>
          </w:tcPr>
          <w:p>
            <w:pPr>
              <w:pStyle w:val="Normal"/>
              <w:widowControl w:val="false"/>
              <w:ind w:right="-108" w:hanging="0"/>
              <w:jc w:val="both"/>
              <w:rPr>
                <w:b/>
                <w:i/>
                <w:i/>
                <w:color w:val="000000"/>
                <w:vertAlign w:val="subscript"/>
              </w:rPr>
            </w:pPr>
            <w:r>
              <w:rPr>
                <w:b/>
                <w:i/>
                <w:color w:val="000000"/>
              </w:rPr>
              <w:t>С</w:t>
            </w:r>
            <w:r>
              <w:rPr>
                <w:b/>
                <w:i/>
                <w:color w:val="000000"/>
                <w:lang w:val="en-US"/>
              </w:rPr>
              <w:t>K</w:t>
            </w:r>
            <w:r>
              <w:rPr>
                <w:b/>
                <w:i/>
                <w:color w:val="000000"/>
                <w:vertAlign w:val="subscript"/>
                <w:lang w:val="en-US"/>
              </w:rPr>
              <w:t>i</w:t>
            </w:r>
          </w:p>
          <w:p>
            <w:pPr>
              <w:pStyle w:val="Normal"/>
              <w:widowControl w:val="false"/>
              <w:ind w:right="-108" w:hanging="0"/>
              <w:jc w:val="both"/>
              <w:rPr>
                <w:color w:val="000000"/>
              </w:rPr>
            </w:pPr>
            <w:r>
              <w:rPr>
                <w:color w:val="000000"/>
              </w:rPr>
            </w:r>
          </w:p>
        </w:tc>
        <w:tc>
          <w:tcPr>
            <w:tcW w:w="282" w:type="dxa"/>
            <w:tcBorders/>
            <w:shd w:color="auto" w:fill="auto" w:val="clear"/>
          </w:tcPr>
          <w:p>
            <w:pPr>
              <w:pStyle w:val="Normal"/>
              <w:widowControl w:val="false"/>
              <w:ind w:right="-108" w:hanging="0"/>
              <w:jc w:val="both"/>
              <w:rPr>
                <w:color w:val="000000"/>
              </w:rPr>
            </w:pPr>
            <w:r>
              <w:rPr/>
              <w:t>-</w:t>
            </w:r>
            <w:r>
              <w:rPr>
                <w:color w:val="000000"/>
              </w:rPr>
              <w:t xml:space="preserve">  </w:t>
            </w:r>
          </w:p>
        </w:tc>
        <w:tc>
          <w:tcPr>
            <w:tcW w:w="8507" w:type="dxa"/>
            <w:tcBorders/>
            <w:shd w:color="auto" w:fill="auto" w:val="clear"/>
          </w:tcPr>
          <w:p>
            <w:pPr>
              <w:pStyle w:val="Normal"/>
              <w:widowControl w:val="false"/>
              <w:ind w:left="-75" w:right="-108" w:hanging="0"/>
              <w:jc w:val="both"/>
              <w:rPr>
                <w:color w:val="000000"/>
                <w:lang w:val="ru-RU"/>
              </w:rPr>
            </w:pPr>
            <w:r>
              <w:rPr>
                <w:lang w:val="ru-RU"/>
              </w:rPr>
              <w:t xml:space="preserve">размер собственных средств (капитала) </w:t>
            </w:r>
            <w:r>
              <w:rPr/>
              <w:t>i</w:t>
            </w:r>
            <w:r>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5">
              <w:r>
                <w:rPr>
                  <w:u w:val="single"/>
                </w:rPr>
                <w:t>www</w:t>
              </w:r>
              <w:r>
                <w:rPr>
                  <w:u w:val="single"/>
                  <w:lang w:val="ru-RU"/>
                </w:rPr>
                <w:t>.</w:t>
              </w:r>
              <w:r>
                <w:rPr>
                  <w:u w:val="single"/>
                </w:rPr>
                <w:t>cbr</w:t>
              </w:r>
              <w:r>
                <w:rPr>
                  <w:u w:val="single"/>
                  <w:lang w:val="ru-RU"/>
                </w:rPr>
                <w:t>.</w:t>
              </w:r>
              <w:r>
                <w:rPr>
                  <w:u w:val="single"/>
                </w:rPr>
                <w:t>ru</w:t>
              </w:r>
            </w:hyperlink>
            <w:r>
              <w:rPr>
                <w:lang w:val="ru-RU"/>
              </w:rPr>
              <w:t>) по строке 000 «Расчет собственных средств (капитала) («Базель</w:t>
            </w:r>
            <w:r>
              <w:rPr/>
              <w:t> III</w:t>
            </w:r>
            <w:r>
              <w:rPr>
                <w:lang w:val="ru-RU"/>
              </w:rPr>
              <w:t>»)», код формы 0409123;</w:t>
            </w:r>
          </w:p>
        </w:tc>
      </w:tr>
      <w:tr>
        <w:trPr>
          <w:trHeight w:val="993" w:hRule="atLeast"/>
        </w:trPr>
        <w:tc>
          <w:tcPr>
            <w:tcW w:w="817" w:type="dxa"/>
            <w:tcBorders/>
          </w:tcPr>
          <w:p>
            <w:pPr>
              <w:pStyle w:val="Normal"/>
              <w:widowControl w:val="false"/>
              <w:ind w:right="-108" w:hanging="0"/>
              <w:jc w:val="both"/>
              <w:rPr>
                <w:b/>
                <w:i/>
                <w:i/>
                <w:color w:val="000000"/>
              </w:rPr>
            </w:pPr>
            <w:r>
              <w:rPr>
                <w:b/>
                <w:i/>
                <w:color w:val="000000"/>
              </w:rPr>
              <w:t>r</w:t>
            </w:r>
            <w:r>
              <w:rPr>
                <w:b/>
                <w:i/>
                <w:color w:val="000000"/>
                <w:vertAlign w:val="subscript"/>
              </w:rPr>
              <w:t>i</w:t>
            </w:r>
          </w:p>
        </w:tc>
        <w:tc>
          <w:tcPr>
            <w:tcW w:w="282" w:type="dxa"/>
            <w:tcBorders/>
          </w:tcPr>
          <w:p>
            <w:pPr>
              <w:pStyle w:val="Normal"/>
              <w:widowControl w:val="false"/>
              <w:ind w:right="-108" w:hanging="0"/>
              <w:jc w:val="both"/>
              <w:rPr/>
            </w:pPr>
            <w:r>
              <w:rPr/>
              <w:t>-</w:t>
            </w:r>
          </w:p>
        </w:tc>
        <w:tc>
          <w:tcPr>
            <w:tcW w:w="8507" w:type="dxa"/>
            <w:tcBorders/>
          </w:tcPr>
          <w:p>
            <w:pPr>
              <w:pStyle w:val="Normal"/>
              <w:widowControl w:val="false"/>
              <w:tabs>
                <w:tab w:val="clear" w:pos="709"/>
                <w:tab w:val="left" w:pos="7130" w:leader="none"/>
              </w:tabs>
              <w:ind w:right="-108" w:hanging="0"/>
              <w:jc w:val="both"/>
              <w:rPr>
                <w:lang w:val="ru-RU"/>
              </w:rPr>
            </w:pPr>
            <w:r>
              <w:rPr>
                <w:lang w:val="ru-RU"/>
              </w:rPr>
              <w:t>рейтинговый коэффициент</w:t>
            </w:r>
            <w:r>
              <w:rPr>
                <w:rStyle w:val="FootnoteReference"/>
              </w:rPr>
              <w:footnoteReference w:id="20"/>
            </w:r>
            <w:r>
              <w:rPr>
                <w:lang w:val="ru-RU"/>
              </w:rPr>
              <w:t xml:space="preserve"> для </w:t>
            </w:r>
            <w:r>
              <w:rPr/>
              <w:t>i</w:t>
            </w:r>
            <w:r>
              <w:rPr>
                <w:lang w:val="ru-RU"/>
              </w:rPr>
              <w:t>-ой кредитной организации, равный:</w:t>
            </w:r>
          </w:p>
          <w:p>
            <w:pPr>
              <w:pStyle w:val="Normal"/>
              <w:widowControl w:val="false"/>
              <w:ind w:firstLine="492"/>
              <w:jc w:val="both"/>
              <w:rPr>
                <w:lang w:val="ru-RU"/>
              </w:rPr>
            </w:pPr>
            <w:r>
              <w:rPr>
                <w:b/>
                <w:lang w:val="ru-RU"/>
              </w:rPr>
              <w:t>0,05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ind w:left="67" w:firstLine="425"/>
              <w:jc w:val="both"/>
              <w:rPr>
                <w:lang w:val="ru-RU"/>
              </w:rPr>
            </w:pPr>
            <w:r>
              <w:rPr>
                <w:b/>
                <w:lang w:val="ru-RU"/>
              </w:rPr>
              <w:t>0,025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pPr>
              <w:pStyle w:val="Normal"/>
              <w:widowControl w:val="false"/>
              <w:ind w:firstLine="492"/>
              <w:jc w:val="both"/>
              <w:rPr>
                <w:lang w:val="ru-RU"/>
              </w:rPr>
            </w:pPr>
            <w:r>
              <w:rPr>
                <w:b/>
                <w:lang w:val="ru-RU"/>
              </w:rPr>
              <w:t>0,015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6"/>
          <w:headerReference w:type="first" r:id="rId7"/>
          <w:footerReference w:type="default" r:id="rId8"/>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62"/>
        <w:gridCol w:w="781"/>
        <w:gridCol w:w="1149"/>
        <w:gridCol w:w="1377"/>
        <w:gridCol w:w="2338"/>
        <w:gridCol w:w="2886"/>
        <w:gridCol w:w="2752"/>
        <w:gridCol w:w="965"/>
        <w:gridCol w:w="2057"/>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21"/>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8</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center"/>
        <w:rPr>
          <w:lang w:val="ru-RU"/>
        </w:rPr>
      </w:pPr>
      <w:r>
        <w:rPr>
          <w:lang w:val="ru-RU"/>
        </w:rPr>
      </w:r>
    </w:p>
    <w:p>
      <w:pPr>
        <w:pStyle w:val="Normal"/>
        <w:spacing w:before="20" w:after="20"/>
        <w:ind w:firstLine="709"/>
        <w:jc w:val="center"/>
        <w:rPr>
          <w:lang w:val="ru-RU"/>
        </w:rPr>
      </w:pPr>
      <w:r>
        <w:rPr>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pPr>
        <w:pStyle w:val="Normal"/>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34"/>
        </w:numPr>
        <w:ind w:left="0" w:firstLine="709"/>
        <w:jc w:val="both"/>
        <w:rPr>
          <w:bCs/>
        </w:rPr>
      </w:pPr>
      <w:r>
        <w:rPr>
          <w:bCs/>
        </w:rPr>
        <w:t>номер заявки;</w:t>
      </w:r>
    </w:p>
    <w:p>
      <w:pPr>
        <w:pStyle w:val="Normal"/>
        <w:numPr>
          <w:ilvl w:val="0"/>
          <w:numId w:val="34"/>
        </w:numPr>
        <w:ind w:left="0" w:firstLine="709"/>
        <w:jc w:val="both"/>
        <w:rPr>
          <w:bCs/>
        </w:rPr>
      </w:pPr>
      <w:r>
        <w:rPr>
          <w:bCs/>
        </w:rPr>
        <w:t>подающее предприятие;</w:t>
      </w:r>
    </w:p>
    <w:p>
      <w:pPr>
        <w:pStyle w:val="Normal"/>
        <w:numPr>
          <w:ilvl w:val="0"/>
          <w:numId w:val="34"/>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34"/>
        </w:numPr>
        <w:ind w:left="0" w:firstLine="709"/>
        <w:jc w:val="both"/>
        <w:rPr>
          <w:bCs/>
        </w:rPr>
      </w:pPr>
      <w:r>
        <w:rPr>
          <w:bCs/>
        </w:rPr>
        <w:t>величина снижения максимальной мощности;</w:t>
      </w:r>
    </w:p>
    <w:p>
      <w:pPr>
        <w:pStyle w:val="Normal"/>
        <w:numPr>
          <w:ilvl w:val="0"/>
          <w:numId w:val="34"/>
        </w:numPr>
        <w:ind w:left="0" w:firstLine="709"/>
        <w:jc w:val="both"/>
        <w:rPr>
          <w:bCs/>
        </w:rPr>
      </w:pPr>
      <w:r>
        <w:rPr>
          <w:bCs/>
        </w:rPr>
        <w:t>содержание работ;</w:t>
      </w:r>
    </w:p>
    <w:p>
      <w:pPr>
        <w:pStyle w:val="Normal"/>
        <w:numPr>
          <w:ilvl w:val="0"/>
          <w:numId w:val="34"/>
        </w:numPr>
        <w:ind w:left="0" w:firstLine="709"/>
        <w:jc w:val="both"/>
        <w:rPr>
          <w:bCs/>
        </w:rPr>
      </w:pPr>
      <w:r>
        <w:rPr>
          <w:bCs/>
        </w:rPr>
        <w:t>время подачи заявки;</w:t>
      </w:r>
    </w:p>
    <w:p>
      <w:pPr>
        <w:pStyle w:val="Normal"/>
        <w:numPr>
          <w:ilvl w:val="0"/>
          <w:numId w:val="34"/>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pPr>
        <w:pStyle w:val="Normal"/>
        <w:spacing w:before="20" w:after="20"/>
        <w:ind w:firstLine="709"/>
        <w:jc w:val="both"/>
        <w:rPr>
          <w:lang w:val="ru-RU"/>
        </w:rPr>
      </w:pPr>
      <w:r>
        <w:rPr/>
        <w:drawing>
          <wp:inline distT="0" distB="0" distL="0" distR="0">
            <wp:extent cx="323850" cy="219075"/>
            <wp:effectExtent l="0" t="0" r="0" b="0"/>
            <wp:docPr id="1"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
                    <pic:cNvPicPr>
                      <a:picLocks noChangeAspect="1" noChangeArrowheads="1"/>
                    </pic:cNvPicPr>
                  </pic:nvPicPr>
                  <pic:blipFill>
                    <a:blip r:embed="rId13"/>
                    <a:stretch>
                      <a:fillRect/>
                    </a:stretch>
                  </pic:blipFill>
                  <pic:spPr bwMode="auto">
                    <a:xfrm>
                      <a:off x="0" y="0"/>
                      <a:ext cx="323850" cy="219075"/>
                    </a:xfrm>
                    <a:prstGeom prst="rect">
                      <a:avLst/>
                    </a:prstGeom>
                  </pic:spPr>
                </pic:pic>
              </a:graphicData>
            </a:graphic>
          </wp:inline>
        </w:drawing>
      </w:r>
      <w:r>
        <w:rPr>
          <w:lang w:val="ru-RU"/>
        </w:rPr>
        <w:t xml:space="preserve"> – </w:t>
      </w:r>
      <w:r>
        <w:rPr>
          <w:lang w:val="ru-RU"/>
        </w:rPr>
        <w:t>величина согласованного планового ремонтного снижения мощности;</w:t>
      </w:r>
    </w:p>
    <w:p>
      <w:pPr>
        <w:pStyle w:val="Normal"/>
        <w:spacing w:before="20" w:after="20"/>
        <w:ind w:firstLine="709"/>
        <w:jc w:val="both"/>
        <w:rPr>
          <w:lang w:val="ru-RU"/>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before="20" w:after="20"/>
        <w:ind w:firstLine="709"/>
        <w:jc w:val="both"/>
        <w:rPr>
          <w:lang w:val="ru-RU"/>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lang w:val="ru-RU"/>
        </w:rPr>
        <w:t xml:space="preserve"> – </w:t>
      </w:r>
      <w:r>
        <w:rPr>
          <w:lang w:val="ru-RU"/>
        </w:rPr>
        <w:t>плановое ремонтное снижение мощности, обусловленное проведением ремонта длительностью более 360 суток для ТЭС за 4 (четыре) года;</w:t>
      </w:r>
    </w:p>
    <w:p>
      <w:pPr>
        <w:pStyle w:val="Normal"/>
        <w:spacing w:before="20" w:after="20"/>
        <w:ind w:firstLine="709"/>
        <w:jc w:val="both"/>
        <w:rPr>
          <w:lang w:val="ru-RU"/>
        </w:rPr>
      </w:pPr>
      <w:r>
        <w:rPr/>
      </w:r>
      <m:oMath xmlns:m="http://schemas.openxmlformats.org/officeDocument/2006/math"/>
      <w:r>
        <w:rPr>
          <w:lang w:val="ru-RU"/>
        </w:rPr>
        <w:t xml:space="preserve"> – </w:t>
      </w:r>
      <w:r>
        <w:rPr>
          <w:lang w:val="ru-RU"/>
        </w:rPr>
        <w:t>итоговое значение согласованного планового ремонтного снижения располагаемой мощности;</w:t>
      </w:r>
    </w:p>
    <w:p>
      <w:pPr>
        <w:pStyle w:val="Normal"/>
        <w:spacing w:before="20" w:after="20"/>
        <w:ind w:firstLine="709"/>
        <w:jc w:val="both"/>
        <w:rPr>
          <w:lang w:val="ru-RU"/>
        </w:rPr>
      </w:pPr>
      <w:r>
        <w:rPr/>
        <w:drawing>
          <wp:inline distT="0" distB="0" distL="0" distR="0">
            <wp:extent cx="546100" cy="273050"/>
            <wp:effectExtent l="0" t="0" r="0" b="0"/>
            <wp:docPr id="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
                    <pic:cNvPicPr>
                      <a:picLocks noChangeAspect="1" noChangeArrowheads="1"/>
                    </pic:cNvPicPr>
                  </pic:nvPicPr>
                  <pic:blipFill>
                    <a:blip r:embed="rId14"/>
                    <a:stretch>
                      <a:fillRect/>
                    </a:stretch>
                  </pic:blipFill>
                  <pic:spPr bwMode="auto">
                    <a:xfrm>
                      <a:off x="0" y="0"/>
                      <a:ext cx="546100" cy="273050"/>
                    </a:xfrm>
                    <a:prstGeom prst="rect">
                      <a:avLst/>
                    </a:prstGeom>
                  </pic:spPr>
                </pic:pic>
              </a:graphicData>
            </a:graphic>
          </wp:inline>
        </w:drawing>
      </w:r>
      <w:r>
        <w:rPr>
          <w:lang w:val="ru-RU"/>
        </w:rPr>
        <w:t xml:space="preserve"> – </w:t>
      </w:r>
      <w:r>
        <w:rPr>
          <w:lang w:val="ru-RU"/>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pPr>
        <w:pStyle w:val="Normal"/>
        <w:spacing w:before="20" w:after="20"/>
        <w:ind w:firstLine="709"/>
        <w:jc w:val="both"/>
        <w:rPr>
          <w:lang w:val="ru-RU"/>
        </w:rPr>
      </w:pPr>
      <w:r>
        <w:rPr/>
        <w:drawing>
          <wp:inline distT="0" distB="0" distL="0" distR="0">
            <wp:extent cx="525145" cy="266065"/>
            <wp:effectExtent l="0" t="0" r="0" b="0"/>
            <wp:docPr id="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pic:cNvPicPr>
                      <a:picLocks noChangeAspect="1" noChangeArrowheads="1"/>
                    </pic:cNvPicPr>
                  </pic:nvPicPr>
                  <pic:blipFill>
                    <a:blip r:embed="rId15"/>
                    <a:stretch>
                      <a:fillRect/>
                    </a:stretch>
                  </pic:blipFill>
                  <pic:spPr bwMode="auto">
                    <a:xfrm>
                      <a:off x="0" y="0"/>
                      <a:ext cx="525145" cy="266065"/>
                    </a:xfrm>
                    <a:prstGeom prst="rect">
                      <a:avLst/>
                    </a:prstGeom>
                  </pic:spPr>
                </pic:pic>
              </a:graphicData>
            </a:graphic>
          </wp:inline>
        </w:drawing>
      </w:r>
      <w:r>
        <w:rPr>
          <w:lang w:val="ru-RU"/>
        </w:rPr>
        <w:t xml:space="preserve"> – </w:t>
      </w:r>
      <w:r>
        <w:rPr>
          <w:lang w:val="ru-RU"/>
        </w:rPr>
        <w:t>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before="20" w:after="20"/>
        <w:ind w:firstLine="709"/>
        <w:jc w:val="both"/>
        <w:rPr>
          <w:lang w:val="ru-RU"/>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lang w:val="ru-RU"/>
        </w:rPr>
        <w:t xml:space="preserve"> – </w:t>
      </w:r>
      <w:r>
        <w:rPr>
          <w:lang w:val="ru-RU"/>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pPr>
        <w:pStyle w:val="Normal"/>
        <w:spacing w:before="20" w:after="20"/>
        <w:ind w:firstLine="709"/>
        <w:jc w:val="both"/>
        <w:rPr>
          <w:lang w:val="ru-RU"/>
        </w:rPr>
      </w:pPr>
      <w:r>
        <w:rPr/>
        <w:drawing>
          <wp:inline distT="0" distB="0" distL="0" distR="0">
            <wp:extent cx="532130" cy="273050"/>
            <wp:effectExtent l="0" t="0" r="0" b="0"/>
            <wp:docPr id="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
                    <pic:cNvPicPr>
                      <a:picLocks noChangeAspect="1" noChangeArrowheads="1"/>
                    </pic:cNvPicPr>
                  </pic:nvPicPr>
                  <pic:blipFill>
                    <a:blip r:embed="rId16"/>
                    <a:stretch>
                      <a:fillRect/>
                    </a:stretch>
                  </pic:blipFill>
                  <pic:spPr bwMode="auto">
                    <a:xfrm>
                      <a:off x="0" y="0"/>
                      <a:ext cx="532130" cy="273050"/>
                    </a:xfrm>
                    <a:prstGeom prst="rect">
                      <a:avLst/>
                    </a:prstGeom>
                  </pic:spPr>
                </pic:pic>
              </a:graphicData>
            </a:graphic>
          </wp:inline>
        </w:drawing>
      </w:r>
      <w:r>
        <w:rPr>
          <w:lang w:val="ru-RU"/>
        </w:rPr>
        <w:t xml:space="preserve"> – </w:t>
      </w:r>
      <w:r>
        <w:rPr>
          <w:lang w:val="ru-RU"/>
        </w:rPr>
        <w:t xml:space="preserve">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pPr>
        <w:pStyle w:val="Normal"/>
        <w:spacing w:before="20" w:after="20"/>
        <w:ind w:firstLine="709"/>
        <w:jc w:val="both"/>
        <w:rPr>
          <w:lang w:val="ru-RU"/>
        </w:rPr>
      </w:pPr>
      <w:r>
        <w:rPr/>
        <w:drawing>
          <wp:inline distT="0" distB="0" distL="0" distR="0">
            <wp:extent cx="522605" cy="267335"/>
            <wp:effectExtent l="0" t="0" r="0" b="0"/>
            <wp:docPr id="5"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0" descr=""/>
                    <pic:cNvPicPr>
                      <a:picLocks noChangeAspect="1" noChangeArrowheads="1"/>
                    </pic:cNvPicPr>
                  </pic:nvPicPr>
                  <pic:blipFill>
                    <a:blip r:embed="rId17"/>
                    <a:stretch>
                      <a:fillRect/>
                    </a:stretch>
                  </pic:blipFill>
                  <pic:spPr bwMode="auto">
                    <a:xfrm>
                      <a:off x="0" y="0"/>
                      <a:ext cx="522605" cy="267335"/>
                    </a:xfrm>
                    <a:prstGeom prst="rect">
                      <a:avLst/>
                    </a:prstGeom>
                  </pic:spPr>
                </pic:pic>
              </a:graphicData>
            </a:graphic>
          </wp:inline>
        </w:drawing>
      </w:r>
      <w:r>
        <w:rPr>
          <w:lang w:val="ru-RU"/>
        </w:rPr>
        <w:t xml:space="preserve"> – </w:t>
      </w:r>
      <w:r>
        <w:rPr>
          <w:lang w:val="ru-RU"/>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before="20" w:after="20"/>
        <w:ind w:firstLine="709"/>
        <w:jc w:val="both"/>
        <w:rPr>
          <w:lang w:val="ru-RU"/>
        </w:rPr>
      </w:pPr>
      <w:r>
        <w:rPr/>
        <w:drawing>
          <wp:inline distT="0" distB="0" distL="0" distR="0">
            <wp:extent cx="621030" cy="320675"/>
            <wp:effectExtent l="0" t="0" r="0" b="0"/>
            <wp:docPr id="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descr=""/>
                    <pic:cNvPicPr>
                      <a:picLocks noChangeAspect="1" noChangeArrowheads="1"/>
                    </pic:cNvPicPr>
                  </pic:nvPicPr>
                  <pic:blipFill>
                    <a:blip r:embed="rId18"/>
                    <a:stretch>
                      <a:fillRect/>
                    </a:stretch>
                  </pic:blipFill>
                  <pic:spPr bwMode="auto">
                    <a:xfrm>
                      <a:off x="0" y="0"/>
                      <a:ext cx="621030" cy="320675"/>
                    </a:xfrm>
                    <a:prstGeom prst="rect">
                      <a:avLst/>
                    </a:prstGeom>
                  </pic:spPr>
                </pic:pic>
              </a:graphicData>
            </a:graphic>
          </wp:inline>
        </w:drawing>
      </w:r>
      <w:r>
        <w:rPr>
          <w:lang w:val="ru-RU"/>
        </w:rPr>
        <w:t xml:space="preserve"> – </w:t>
      </w:r>
      <w:r>
        <w:rPr>
          <w:lang w:val="ru-RU"/>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Pr/>
        <w:t>n</w:t>
      </w:r>
      <w:r>
        <w:rPr>
          <w:lang w:val="ru-RU"/>
        </w:rPr>
        <w:t>-4) суток Х;</w:t>
      </w:r>
    </w:p>
    <w:p>
      <w:pPr>
        <w:pStyle w:val="Normal"/>
        <w:spacing w:before="20" w:after="20"/>
        <w:ind w:firstLine="709"/>
        <w:jc w:val="both"/>
        <w:rPr>
          <w:lang w:val="ru-RU"/>
        </w:rPr>
      </w:pPr>
      <w:r>
        <w:rPr/>
        <w:drawing>
          <wp:inline distT="0" distB="0" distL="0" distR="0">
            <wp:extent cx="522605" cy="267335"/>
            <wp:effectExtent l="0" t="0" r="0" b="0"/>
            <wp:docPr id="7"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9" descr=""/>
                    <pic:cNvPicPr>
                      <a:picLocks noChangeAspect="1" noChangeArrowheads="1"/>
                    </pic:cNvPicPr>
                  </pic:nvPicPr>
                  <pic:blipFill>
                    <a:blip r:embed="rId19"/>
                    <a:stretch>
                      <a:fillRect/>
                    </a:stretch>
                  </pic:blipFill>
                  <pic:spPr bwMode="auto">
                    <a:xfrm>
                      <a:off x="0" y="0"/>
                      <a:ext cx="522605" cy="267335"/>
                    </a:xfrm>
                    <a:prstGeom prst="rect">
                      <a:avLst/>
                    </a:prstGeom>
                  </pic:spPr>
                </pic:pic>
              </a:graphicData>
            </a:graphic>
          </wp:inline>
        </w:drawing>
      </w:r>
      <w:r>
        <w:rPr>
          <w:lang w:val="ru-RU"/>
        </w:rPr>
        <w:t xml:space="preserve"> – </w:t>
      </w:r>
      <w:r>
        <w:rPr>
          <w:lang w:val="ru-RU"/>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Pr/>
        <w:t>n</w:t>
      </w:r>
      <w:r>
        <w:rPr>
          <w:lang w:val="ru-RU"/>
        </w:rPr>
        <w:t>-4) суток Х;</w:t>
      </w:r>
    </w:p>
    <w:p>
      <w:pPr>
        <w:pStyle w:val="Normal"/>
        <w:spacing w:before="20" w:after="20"/>
        <w:ind w:firstLine="709"/>
        <w:jc w:val="both"/>
        <w:rPr>
          <w:lang w:val="ru-RU"/>
        </w:rPr>
      </w:pPr>
      <w:r>
        <w:rPr/>
        <w:drawing>
          <wp:inline distT="0" distB="0" distL="0" distR="0">
            <wp:extent cx="510540" cy="237490"/>
            <wp:effectExtent l="0" t="0" r="0" b="0"/>
            <wp:docPr id="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8" descr=""/>
                    <pic:cNvPicPr>
                      <a:picLocks noChangeAspect="1" noChangeArrowheads="1"/>
                    </pic:cNvPicPr>
                  </pic:nvPicPr>
                  <pic:blipFill>
                    <a:blip r:embed="rId20"/>
                    <a:stretch>
                      <a:fillRect/>
                    </a:stretch>
                  </pic:blipFill>
                  <pic:spPr bwMode="auto">
                    <a:xfrm>
                      <a:off x="0" y="0"/>
                      <a:ext cx="510540" cy="237490"/>
                    </a:xfrm>
                    <a:prstGeom prst="rect">
                      <a:avLst/>
                    </a:prstGeom>
                  </pic:spPr>
                </pic:pic>
              </a:graphicData>
            </a:graphic>
          </wp:inline>
        </w:drawing>
      </w:r>
      <w:r>
        <w:rPr>
          <w:lang w:val="ru-RU"/>
        </w:rPr>
        <w:t xml:space="preserve"> – </w:t>
      </w:r>
      <w:r>
        <w:rPr>
          <w:lang w:val="ru-RU"/>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before="20" w:after="20"/>
        <w:ind w:firstLine="709"/>
        <w:jc w:val="both"/>
        <w:rPr>
          <w:lang w:val="ru-RU"/>
        </w:rPr>
      </w:pPr>
      <w:r>
        <w:rPr/>
        <w:drawing>
          <wp:inline distT="0" distB="0" distL="0" distR="0">
            <wp:extent cx="498475" cy="237490"/>
            <wp:effectExtent l="0" t="0" r="0" b="0"/>
            <wp:docPr id="9"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7" descr=""/>
                    <pic:cNvPicPr>
                      <a:picLocks noChangeAspect="1" noChangeArrowheads="1"/>
                    </pic:cNvPicPr>
                  </pic:nvPicPr>
                  <pic:blipFill>
                    <a:blip r:embed="rId21"/>
                    <a:stretch>
                      <a:fillRect/>
                    </a:stretch>
                  </pic:blipFill>
                  <pic:spPr bwMode="auto">
                    <a:xfrm>
                      <a:off x="0" y="0"/>
                      <a:ext cx="498475" cy="237490"/>
                    </a:xfrm>
                    <a:prstGeom prst="rect">
                      <a:avLst/>
                    </a:prstGeom>
                  </pic:spPr>
                </pic:pic>
              </a:graphicData>
            </a:graphic>
          </wp:inline>
        </w:drawing>
      </w:r>
      <w:r>
        <w:rPr>
          <w:lang w:val="ru-RU"/>
        </w:rPr>
        <w:t xml:space="preserve"> – </w:t>
      </w:r>
      <w:r>
        <w:rPr>
          <w:lang w:val="ru-RU"/>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before="20" w:after="20"/>
        <w:ind w:firstLine="709"/>
        <w:jc w:val="both"/>
        <w:rPr>
          <w:lang w:val="ru-RU"/>
        </w:rPr>
      </w:pPr>
      <w:r>
        <w:rPr/>
        <w:drawing>
          <wp:inline distT="0" distB="0" distL="0" distR="0">
            <wp:extent cx="914400" cy="285115"/>
            <wp:effectExtent l="0" t="0" r="0" b="0"/>
            <wp:docPr id="10"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6" descr=""/>
                    <pic:cNvPicPr>
                      <a:picLocks noChangeAspect="1" noChangeArrowheads="1"/>
                    </pic:cNvPicPr>
                  </pic:nvPicPr>
                  <pic:blipFill>
                    <a:blip r:embed="rId22"/>
                    <a:stretch>
                      <a:fillRect/>
                    </a:stretch>
                  </pic:blipFill>
                  <pic:spPr bwMode="auto">
                    <a:xfrm>
                      <a:off x="0" y="0"/>
                      <a:ext cx="914400" cy="285115"/>
                    </a:xfrm>
                    <a:prstGeom prst="rect">
                      <a:avLst/>
                    </a:prstGeom>
                  </pic:spPr>
                </pic:pic>
              </a:graphicData>
            </a:graphic>
          </wp:inline>
        </w:drawing>
      </w:r>
      <w:r>
        <w:rPr>
          <w:lang w:val="ru-RU"/>
        </w:rPr>
        <w:t xml:space="preserve"> – </w:t>
      </w:r>
      <w:r>
        <w:rPr>
          <w:lang w:val="ru-RU"/>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before="20" w:after="20"/>
        <w:ind w:firstLine="709"/>
        <w:jc w:val="both"/>
        <w:rPr>
          <w:lang w:val="ru-RU"/>
        </w:rPr>
      </w:pPr>
      <w:r>
        <w:rPr/>
        <w:drawing>
          <wp:inline distT="0" distB="0" distL="0" distR="0">
            <wp:extent cx="1050925" cy="361950"/>
            <wp:effectExtent l="0" t="0" r="0" b="0"/>
            <wp:docPr id="11"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5" descr=""/>
                    <pic:cNvPicPr>
                      <a:picLocks noChangeAspect="1" noChangeArrowheads="1"/>
                    </pic:cNvPicPr>
                  </pic:nvPicPr>
                  <pic:blipFill>
                    <a:blip r:embed="rId23"/>
                    <a:stretch>
                      <a:fillRect/>
                    </a:stretch>
                  </pic:blipFill>
                  <pic:spPr bwMode="auto">
                    <a:xfrm>
                      <a:off x="0" y="0"/>
                      <a:ext cx="1050925" cy="361950"/>
                    </a:xfrm>
                    <a:prstGeom prst="rect">
                      <a:avLst/>
                    </a:prstGeom>
                  </pic:spPr>
                </pic:pic>
              </a:graphicData>
            </a:graphic>
          </wp:inline>
        </w:drawing>
      </w:r>
      <w:r>
        <w:rPr>
          <w:lang w:val="ru-RU"/>
        </w:rPr>
        <w:t xml:space="preserve"> – </w:t>
      </w:r>
      <w:r>
        <w:rPr>
          <w:lang w:val="ru-RU"/>
        </w:rPr>
        <w:t>регистрируется при согласованном увеличении времени включения в сеть;</w:t>
      </w:r>
    </w:p>
    <w:p>
      <w:pPr>
        <w:pStyle w:val="Normal"/>
        <w:spacing w:before="20" w:after="20"/>
        <w:ind w:firstLine="709"/>
        <w:jc w:val="both"/>
        <w:rPr>
          <w:lang w:val="ru-RU"/>
        </w:rPr>
      </w:pPr>
      <w:r>
        <w:rPr/>
        <w:drawing>
          <wp:inline distT="0" distB="0" distL="0" distR="0">
            <wp:extent cx="955675" cy="314960"/>
            <wp:effectExtent l="0" t="0" r="0" b="0"/>
            <wp:docPr id="12"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descr=""/>
                    <pic:cNvPicPr>
                      <a:picLocks noChangeAspect="1" noChangeArrowheads="1"/>
                    </pic:cNvPicPr>
                  </pic:nvPicPr>
                  <pic:blipFill>
                    <a:blip r:embed="rId24"/>
                    <a:stretch>
                      <a:fillRect/>
                    </a:stretch>
                  </pic:blipFill>
                  <pic:spPr bwMode="auto">
                    <a:xfrm>
                      <a:off x="0" y="0"/>
                      <a:ext cx="955675" cy="314960"/>
                    </a:xfrm>
                    <a:prstGeom prst="rect">
                      <a:avLst/>
                    </a:prstGeom>
                  </pic:spPr>
                </pic:pic>
              </a:graphicData>
            </a:graphic>
          </wp:inline>
        </w:drawing>
      </w:r>
      <w:r>
        <w:rPr>
          <w:lang w:val="ru-RU"/>
        </w:rPr>
        <w:t xml:space="preserve"> – </w:t>
      </w:r>
      <w:r>
        <w:rPr>
          <w:lang w:val="ru-RU"/>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before="20" w:after="20"/>
        <w:ind w:firstLine="709"/>
        <w:jc w:val="both"/>
        <w:rPr>
          <w:lang w:val="ru-RU"/>
        </w:rPr>
      </w:pPr>
      <w:r>
        <w:rPr/>
        <w:drawing>
          <wp:inline distT="0" distB="0" distL="0" distR="0">
            <wp:extent cx="368300" cy="286385"/>
            <wp:effectExtent l="0" t="0" r="0" b="0"/>
            <wp:docPr id="1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 descr=""/>
                    <pic:cNvPicPr>
                      <a:picLocks noChangeAspect="1" noChangeArrowheads="1"/>
                    </pic:cNvPicPr>
                  </pic:nvPicPr>
                  <pic:blipFill>
                    <a:blip r:embed="rId25"/>
                    <a:stretch>
                      <a:fillRect/>
                    </a:stretch>
                  </pic:blipFill>
                  <pic:spPr bwMode="auto">
                    <a:xfrm>
                      <a:off x="0" y="0"/>
                      <a:ext cx="368300" cy="286385"/>
                    </a:xfrm>
                    <a:prstGeom prst="rect">
                      <a:avLst/>
                    </a:prstGeom>
                  </pic:spPr>
                </pic:pic>
              </a:graphicData>
            </a:graphic>
          </wp:inline>
        </w:drawing>
      </w:r>
      <w:r>
        <w:rPr>
          <w:lang w:val="ru-RU"/>
        </w:rPr>
        <w:t xml:space="preserve"> – </w:t>
      </w:r>
      <w:r>
        <w:rPr>
          <w:lang w:val="ru-RU"/>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before="120" w:after="20"/>
        <w:ind w:firstLine="709"/>
        <w:jc w:val="both"/>
        <w:rPr>
          <w:lang w:val="ru-RU"/>
        </w:rPr>
      </w:pPr>
      <w:r>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2740" cy="267335"/>
            <wp:effectExtent l="0" t="0" r="0" b="0"/>
            <wp:docPr id="1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descr=""/>
                    <pic:cNvPicPr>
                      <a:picLocks noChangeAspect="1" noChangeArrowheads="1"/>
                    </pic:cNvPicPr>
                  </pic:nvPicPr>
                  <pic:blipFill>
                    <a:blip r:embed="rId26"/>
                    <a:stretch>
                      <a:fillRect/>
                    </a:stretch>
                  </pic:blipFill>
                  <pic:spPr bwMode="auto">
                    <a:xfrm>
                      <a:off x="0" y="0"/>
                      <a:ext cx="332740" cy="267335"/>
                    </a:xfrm>
                    <a:prstGeom prst="rect">
                      <a:avLst/>
                    </a:prstGeom>
                  </pic:spPr>
                </pic:pic>
              </a:graphicData>
            </a:graphic>
          </wp:inline>
        </w:drawing>
      </w:r>
      <w:r>
        <w:rPr>
          <w:lang w:val="ru-RU"/>
        </w:rPr>
        <w:t>, соответствующие объемам невыполнения требований в месяце, определяется по формуле:</w:t>
      </w:r>
    </w:p>
    <w:p>
      <w:pPr>
        <w:pStyle w:val="Normal"/>
        <w:spacing w:before="20" w:after="20"/>
        <w:jc w:val="center"/>
        <w:rPr/>
      </w:pPr>
      <w:r>
        <w:rPr/>
        <w:drawing>
          <wp:inline distT="0" distB="0" distL="0" distR="0">
            <wp:extent cx="1371600" cy="676910"/>
            <wp:effectExtent l="0" t="0" r="0" b="0"/>
            <wp:docPr id="15"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descr=""/>
                    <pic:cNvPicPr>
                      <a:picLocks noChangeAspect="1" noChangeArrowheads="1"/>
                    </pic:cNvPicPr>
                  </pic:nvPicPr>
                  <pic:blipFill>
                    <a:blip r:embed="rId27"/>
                    <a:stretch>
                      <a:fillRect/>
                    </a:stretch>
                  </pic:blipFill>
                  <pic:spPr bwMode="auto">
                    <a:xfrm>
                      <a:off x="0" y="0"/>
                      <a:ext cx="1371600" cy="676910"/>
                    </a:xfrm>
                    <a:prstGeom prst="rect">
                      <a:avLst/>
                    </a:prstGeom>
                  </pic:spPr>
                </pic:pic>
              </a:graphicData>
            </a:graphic>
          </wp:inline>
        </w:drawing>
      </w:r>
    </w:p>
    <w:p>
      <w:pPr>
        <w:pStyle w:val="Normal"/>
        <w:spacing w:before="20" w:after="20"/>
        <w:ind w:firstLine="709"/>
        <w:jc w:val="both"/>
        <w:rPr>
          <w:lang w:val="ru-RU"/>
        </w:rPr>
      </w:pPr>
      <w:r>
        <w:rPr>
          <w:lang w:val="ru-RU"/>
        </w:rPr>
        <w:t>где:</w:t>
      </w:r>
    </w:p>
    <w:p>
      <w:pPr>
        <w:pStyle w:val="Normal"/>
        <w:spacing w:before="20" w:after="20"/>
        <w:ind w:firstLine="709"/>
        <w:jc w:val="both"/>
        <w:rPr>
          <w:lang w:val="ru-RU"/>
        </w:rPr>
      </w:pPr>
      <w:r>
        <w:rPr/>
        <w:drawing>
          <wp:inline distT="0" distB="0" distL="0" distR="0">
            <wp:extent cx="290830" cy="267335"/>
            <wp:effectExtent l="0" t="0" r="0" b="0"/>
            <wp:docPr id="1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descr=""/>
                    <pic:cNvPicPr>
                      <a:picLocks noChangeAspect="1" noChangeArrowheads="1"/>
                    </pic:cNvPicPr>
                  </pic:nvPicPr>
                  <pic:blipFill>
                    <a:blip r:embed="rId28"/>
                    <a:stretch>
                      <a:fillRect/>
                    </a:stretch>
                  </pic:blipFill>
                  <pic:spPr bwMode="auto">
                    <a:xfrm>
                      <a:off x="0" y="0"/>
                      <a:ext cx="290830" cy="267335"/>
                    </a:xfrm>
                    <a:prstGeom prst="rect">
                      <a:avLst/>
                    </a:prstGeom>
                  </pic:spPr>
                </pic:pic>
              </a:graphicData>
            </a:graphic>
          </wp:inline>
        </w:drawing>
      </w:r>
      <w:r>
        <w:rPr>
          <w:lang w:val="ru-RU"/>
        </w:rPr>
        <w:t xml:space="preserve"> – </w:t>
      </w:r>
      <w:r>
        <w:rPr>
          <w:lang w:val="ru-RU"/>
        </w:rPr>
        <w:t>значения снижения мощности ГТПГ, установленные СО в ГРМ;</w:t>
      </w:r>
    </w:p>
    <w:p>
      <w:pPr>
        <w:pStyle w:val="Normal"/>
        <w:spacing w:before="20" w:after="20"/>
        <w:ind w:firstLine="709"/>
        <w:jc w:val="both"/>
        <w:rPr>
          <w:lang w:val="ru-RU"/>
        </w:rPr>
      </w:pPr>
      <w:r>
        <w:rPr>
          <w:lang w:val="ru-RU"/>
        </w:rPr>
        <w:t xml:space="preserve">Н – количество часов, соответствующее расчетному месяцу </w:t>
      </w:r>
      <w:r>
        <w:rPr/>
        <w:t>m</w:t>
      </w:r>
      <w:r>
        <w:rPr>
          <w:lang w:val="ru-RU"/>
        </w:rPr>
        <w:t xml:space="preserve">. </w:t>
      </w:r>
    </w:p>
    <w:p>
      <w:pPr>
        <w:pStyle w:val="Normal"/>
        <w:spacing w:before="20" w:after="20"/>
        <w:ind w:firstLine="709"/>
        <w:jc w:val="both"/>
        <w:rPr>
          <w:lang w:val="ru-RU"/>
        </w:rPr>
      </w:pPr>
      <w:r>
        <w:rPr>
          <w:lang w:val="ru-RU"/>
        </w:rPr>
      </w:r>
    </w:p>
    <w:p>
      <w:pPr>
        <w:pStyle w:val="Normal"/>
        <w:spacing w:before="20" w:after="20"/>
        <w:ind w:firstLine="709"/>
        <w:jc w:val="both"/>
        <w:rPr>
          <w:lang w:val="ru-RU"/>
        </w:rPr>
      </w:pPr>
      <w:r>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before="120" w:after="20"/>
        <w:ind w:firstLine="709"/>
        <w:jc w:val="both"/>
        <w:rPr>
          <w:lang w:val="ru-RU"/>
        </w:rPr>
      </w:pPr>
      <w:r>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Pr/>
        <w:t>m</w:t>
      </w:r>
      <w:r>
        <w:rPr>
          <w:lang w:val="ru-RU"/>
        </w:rPr>
        <w:t>, рассчитывается для каждой ГТП (единицы оборудования) по формуле:</w:t>
      </w:r>
    </w:p>
    <w:p>
      <w:pPr>
        <w:pStyle w:val="Normal"/>
        <w:spacing w:before="20" w:after="20"/>
        <w:ind w:firstLine="709"/>
        <w:jc w:val="both"/>
        <w:rPr>
          <w:lang w:val="ru-RU"/>
        </w:rPr>
      </w:pPr>
      <w:r>
        <w:rPr>
          <w:lang w:val="ru-RU"/>
        </w:rPr>
      </w:r>
    </w:p>
    <w:p>
      <w:pPr>
        <w:pStyle w:val="Normal"/>
        <w:spacing w:before="20" w:after="20"/>
        <w:jc w:val="center"/>
        <w:rPr/>
      </w:pPr>
      <w:r>
        <w:rPr/>
        <w:drawing>
          <wp:inline distT="0" distB="0" distL="0" distR="0">
            <wp:extent cx="1866900" cy="447675"/>
            <wp:effectExtent l="0" t="0" r="0" b="0"/>
            <wp:docPr id="17"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8" descr=""/>
                    <pic:cNvPicPr>
                      <a:picLocks noChangeAspect="1" noChangeArrowheads="1"/>
                    </pic:cNvPicPr>
                  </pic:nvPicPr>
                  <pic:blipFill>
                    <a:blip r:embed="rId29"/>
                    <a:stretch>
                      <a:fillRect/>
                    </a:stretch>
                  </pic:blipFill>
                  <pic:spPr bwMode="auto">
                    <a:xfrm>
                      <a:off x="0" y="0"/>
                      <a:ext cx="1866900" cy="447675"/>
                    </a:xfrm>
                    <a:prstGeom prst="rect">
                      <a:avLst/>
                    </a:prstGeom>
                  </pic:spPr>
                </pic:pic>
              </a:graphicData>
            </a:graphic>
          </wp:inline>
        </w:drawing>
      </w:r>
    </w:p>
    <w:p>
      <w:pPr>
        <w:pStyle w:val="Normal"/>
        <w:spacing w:before="20" w:after="20"/>
        <w:ind w:firstLine="709"/>
        <w:jc w:val="both"/>
        <w:rPr>
          <w:lang w:val="ru-RU"/>
        </w:rPr>
      </w:pPr>
      <w:r>
        <w:rPr>
          <w:lang w:val="ru-RU"/>
        </w:rPr>
        <w:t xml:space="preserve"> </w:t>
      </w:r>
      <w:r>
        <w:rPr>
          <w:lang w:val="ru-RU"/>
        </w:rPr>
        <w:t>где:</w:t>
        <w:tab/>
        <w:tab/>
        <w:tab/>
        <w:tab/>
        <w:tab/>
        <w:tab/>
      </w:r>
    </w:p>
    <w:p>
      <w:pPr>
        <w:pStyle w:val="Normal"/>
        <w:spacing w:before="20" w:after="20"/>
        <w:ind w:firstLine="709"/>
        <w:jc w:val="both"/>
        <w:rPr>
          <w:lang w:val="ru-RU"/>
        </w:rPr>
      </w:pPr>
      <w:r>
        <w:rPr/>
        <w:drawing>
          <wp:inline distT="0" distB="0" distL="0" distR="0">
            <wp:extent cx="184150" cy="231775"/>
            <wp:effectExtent l="0" t="0" r="0" b="0"/>
            <wp:docPr id="18"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 descr=""/>
                    <pic:cNvPicPr>
                      <a:picLocks noChangeAspect="1" noChangeArrowheads="1"/>
                    </pic:cNvPicPr>
                  </pic:nvPicPr>
                  <pic:blipFill>
                    <a:blip r:embed="rId30"/>
                    <a:stretch>
                      <a:fillRect/>
                    </a:stretch>
                  </pic:blipFill>
                  <pic:spPr bwMode="auto">
                    <a:xfrm>
                      <a:off x="0" y="0"/>
                      <a:ext cx="184150" cy="231775"/>
                    </a:xfrm>
                    <a:prstGeom prst="rect">
                      <a:avLst/>
                    </a:prstGeom>
                  </pic:spPr>
                </pic:pic>
              </a:graphicData>
            </a:graphic>
          </wp:inline>
        </w:drawing>
      </w:r>
      <w:r>
        <w:rPr>
          <w:lang w:val="ru-RU"/>
        </w:rPr>
        <w:t xml:space="preserve"> </w:t>
      </w:r>
      <w:r>
        <w:rPr>
          <w:lang w:val="ru-RU"/>
        </w:rPr>
        <w:t>- коэффициенты (</w:t>
      </w:r>
      <w:r>
        <w:rPr/>
      </w:r>
      <m:oMath xmlns:m="http://schemas.openxmlformats.org/officeDocument/2006/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lang w:val="ru-RU"/>
        </w:rPr>
        <w:t>,</w:t>
      </w:r>
      <w:r>
        <w:rPr/>
      </w:r>
      <m:oMath xmlns:m="http://schemas.openxmlformats.org/officeDocument/2006/math"/>
      <w:r>
        <w:rPr>
          <w:lang w:val="ru-RU"/>
        </w:rPr>
        <w:t>,</w:t>
      </w:r>
      <w:r>
        <w:rPr/>
      </w:r>
      <m:oMath xmlns:m="http://schemas.openxmlformats.org/officeDocument/2006/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lang w:val="ru-RU"/>
        </w:rPr>
        <w:t>,</w:t>
      </w:r>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lang w:val="ru-RU"/>
        </w:rPr>
        <w:t xml:space="preserve">, </w:t>
      </w:r>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lang w:val="ru-RU"/>
        </w:rPr>
        <w:t>,</w:t>
      </w:r>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pPr>
        <w:pStyle w:val="Normal"/>
        <w:spacing w:before="120" w:after="20"/>
        <w:ind w:firstLine="709"/>
        <w:jc w:val="both"/>
        <w:rPr>
          <w:lang w:val="ru-RU"/>
        </w:rPr>
      </w:pPr>
      <w:r>
        <w:rPr>
          <w:lang w:val="ru-RU"/>
        </w:rPr>
        <w:t xml:space="preserve">Снижение оплаты мощности рассчитывается как произведение объема недопоставки мощности </w:t>
      </w:r>
      <w:r>
        <w:rPr/>
        <w:drawing>
          <wp:inline distT="0" distB="0" distL="0" distR="0">
            <wp:extent cx="702945" cy="259080"/>
            <wp:effectExtent l="0" t="0" r="0" b="0"/>
            <wp:docPr id="19"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 descr=""/>
                    <pic:cNvPicPr>
                      <a:picLocks noChangeAspect="1" noChangeArrowheads="1"/>
                    </pic:cNvPicPr>
                  </pic:nvPicPr>
                  <pic:blipFill>
                    <a:blip r:embed="rId31"/>
                    <a:stretch>
                      <a:fillRect/>
                    </a:stretch>
                  </pic:blipFill>
                  <pic:spPr bwMode="auto">
                    <a:xfrm>
                      <a:off x="0" y="0"/>
                      <a:ext cx="702945" cy="259080"/>
                    </a:xfrm>
                    <a:prstGeom prst="rect">
                      <a:avLst/>
                    </a:prstGeom>
                  </pic:spPr>
                </pic:pic>
              </a:graphicData>
            </a:graphic>
          </wp:inline>
        </w:drawing>
      </w:r>
      <w:r>
        <w:rPr>
          <w:lang w:val="ru-RU"/>
        </w:rPr>
        <w:t xml:space="preserve"> на тариф </w:t>
      </w:r>
      <w:r>
        <w:rPr/>
        <w:drawing>
          <wp:inline distT="0" distB="0" distL="0" distR="0">
            <wp:extent cx="498475" cy="338455"/>
            <wp:effectExtent l="0" t="0" r="0" b="0"/>
            <wp:docPr id="2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0" descr=""/>
                    <pic:cNvPicPr>
                      <a:picLocks noChangeAspect="1" noChangeArrowheads="1"/>
                    </pic:cNvPicPr>
                  </pic:nvPicPr>
                  <pic:blipFill>
                    <a:blip r:embed="rId32"/>
                    <a:stretch>
                      <a:fillRect/>
                    </a:stretch>
                  </pic:blipFill>
                  <pic:spPr bwMode="auto">
                    <a:xfrm>
                      <a:off x="0" y="0"/>
                      <a:ext cx="498475" cy="338455"/>
                    </a:xfrm>
                    <a:prstGeom prst="rect">
                      <a:avLst/>
                    </a:prstGeom>
                  </pic:spPr>
                </pic:pic>
              </a:graphicData>
            </a:graphic>
          </wp:inline>
        </w:drawing>
      </w:r>
      <w:r>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012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40"/>
        <w:gridCol w:w="4879"/>
      </w:tblGrid>
      <w:tr>
        <w:trPr>
          <w:trHeight w:val="282" w:hRule="atLeast"/>
        </w:trPr>
        <w:tc>
          <w:tcPr>
            <w:tcW w:w="5240" w:type="dxa"/>
            <w:tcBorders/>
          </w:tcPr>
          <w:p>
            <w:pPr>
              <w:pStyle w:val="Normal"/>
              <w:widowControl w:val="false"/>
              <w:jc w:val="center"/>
              <w:rPr>
                <w:b/>
              </w:rPr>
            </w:pPr>
            <w:r>
              <w:rPr>
                <w:b/>
              </w:rPr>
              <w:t>Заказчик:</w:t>
            </w:r>
          </w:p>
        </w:tc>
        <w:tc>
          <w:tcPr>
            <w:tcW w:w="4879" w:type="dxa"/>
            <w:tcBorders/>
          </w:tcPr>
          <w:p>
            <w:pPr>
              <w:pStyle w:val="Normal"/>
              <w:widowControl w:val="false"/>
              <w:jc w:val="center"/>
              <w:rPr>
                <w:b/>
              </w:rPr>
            </w:pPr>
            <w:r>
              <w:rPr>
                <w:b/>
                <w:lang w:val="ru-RU"/>
              </w:rPr>
              <w:t>Исполнитель</w:t>
            </w:r>
            <w:r>
              <w:rPr>
                <w:b/>
              </w:rPr>
              <w:t>:</w:t>
            </w:r>
          </w:p>
        </w:tc>
      </w:tr>
      <w:tr>
        <w:trPr>
          <w:trHeight w:val="611" w:hRule="atLeast"/>
        </w:trPr>
        <w:tc>
          <w:tcPr>
            <w:tcW w:w="5240"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487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spacing w:before="120" w:after="20"/>
        <w:jc w:val="both"/>
        <w:rPr>
          <w:lang w:val="ru-RU"/>
        </w:rPr>
      </w:pPr>
      <w:r>
        <w:rPr/>
      </w:r>
    </w:p>
    <w:sectPr>
      <w:headerReference w:type="default" r:id="rId33"/>
      <w:headerReference w:type="first" r:id="rId34"/>
      <w:footerReference w:type="default" r:id="rId35"/>
      <w:footerReference w:type="first" r:id="rId36"/>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37</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2.4.5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5">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6">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7">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Normal"/>
        <w:jc w:val="both"/>
        <w:rPr>
          <w:sz w:val="20"/>
          <w:szCs w:val="20"/>
          <w:highlight w:val="yellow"/>
          <w:vertAlign w:val="subscript"/>
          <w:lang w:val="ru-RU"/>
        </w:rPr>
      </w:pPr>
      <w:r>
        <w:rPr>
          <w:rStyle w:val="Style6"/>
        </w:rPr>
        <w:footnoteRef/>
      </w:r>
      <w:r>
        <w:rPr>
          <w:sz w:val="20"/>
          <w:szCs w:val="20"/>
          <w:lang w:val="ru-RU"/>
        </w:rPr>
        <w:t xml:space="preserve"> </w:t>
      </w:r>
      <w:r>
        <w:rPr>
          <w:sz w:val="20"/>
          <w:szCs w:val="20"/>
          <w:lang w:val="ru-RU"/>
        </w:rPr>
        <w:t>Для договоров, заключенных в рамках реализации инвестиционной программы Общества.</w:t>
      </w:r>
    </w:p>
  </w:footnote>
  <w:footnote w:id="9">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11">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2">
    <w:p>
      <w:pPr>
        <w:pStyle w:val="FootnoteText"/>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3">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14">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5">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16">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17">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18">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19">
    <w:p>
      <w:pPr>
        <w:pStyle w:val="FootnoteText"/>
        <w:jc w:val="both"/>
        <w:rPr>
          <w:lang w:val="ru-RU"/>
        </w:rPr>
      </w:pPr>
      <w:r>
        <w:rPr>
          <w:rStyle w:val="Style6"/>
        </w:rPr>
        <w:footnoteRef/>
      </w:r>
      <w:r>
        <w:rPr>
          <w:lang w:val="ru-RU"/>
        </w:rPr>
        <w:t xml:space="preserve"> </w:t>
      </w:r>
      <w:r>
        <w:rPr>
          <w:lang w:val="ru-RU"/>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val="ru-RU"/>
        </w:rPr>
        <w:t>440 млн. руб., лимит к установлению - 5</w:t>
      </w:r>
      <w:r>
        <w:rPr/>
        <w:t> </w:t>
      </w:r>
      <w:r>
        <w:rPr>
          <w:lang w:val="ru-RU"/>
        </w:rPr>
        <w:t>400 млн. руб.; расчетное значение лимита - 5</w:t>
      </w:r>
      <w:r>
        <w:rPr/>
        <w:t> </w:t>
      </w:r>
      <w:r>
        <w:rPr>
          <w:lang w:val="ru-RU"/>
        </w:rPr>
        <w:t>450 млн. руб., лимит к установлению - 5</w:t>
      </w:r>
      <w:r>
        <w:rPr/>
        <w:t> </w:t>
      </w:r>
      <w:r>
        <w:rPr>
          <w:lang w:val="ru-RU"/>
        </w:rPr>
        <w:t>500 млн. руб.</w:t>
      </w:r>
    </w:p>
  </w:footnote>
  <w:footnote w:id="20">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21">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3">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9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1.png"/><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image" Target="media/image8.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1.wmf"/><Relationship Id="rId24" Type="http://schemas.openxmlformats.org/officeDocument/2006/relationships/image" Target="media/image12.wmf"/><Relationship Id="rId25" Type="http://schemas.openxmlformats.org/officeDocument/2006/relationships/image" Target="media/image13.wmf"/><Relationship Id="rId26" Type="http://schemas.openxmlformats.org/officeDocument/2006/relationships/image" Target="media/image14.wmf"/><Relationship Id="rId27" Type="http://schemas.openxmlformats.org/officeDocument/2006/relationships/image" Target="media/image15.wmf"/><Relationship Id="rId28" Type="http://schemas.openxmlformats.org/officeDocument/2006/relationships/image" Target="media/image16.wmf"/><Relationship Id="rId29" Type="http://schemas.openxmlformats.org/officeDocument/2006/relationships/image" Target="media/image17.png"/><Relationship Id="rId30" Type="http://schemas.openxmlformats.org/officeDocument/2006/relationships/image" Target="media/image18.wmf"/><Relationship Id="rId31" Type="http://schemas.openxmlformats.org/officeDocument/2006/relationships/image" Target="media/image19.wmf"/><Relationship Id="rId32" Type="http://schemas.openxmlformats.org/officeDocument/2006/relationships/image" Target="media/image20.wmf"/><Relationship Id="rId33" Type="http://schemas.openxmlformats.org/officeDocument/2006/relationships/header" Target="header5.xml"/><Relationship Id="rId34" Type="http://schemas.openxmlformats.org/officeDocument/2006/relationships/header" Target="header6.xml"/><Relationship Id="rId35" Type="http://schemas.openxmlformats.org/officeDocument/2006/relationships/footer" Target="footer4.xml"/><Relationship Id="rId36" Type="http://schemas.openxmlformats.org/officeDocument/2006/relationships/footer" Target="footer5.xml"/><Relationship Id="rId37" Type="http://schemas.openxmlformats.org/officeDocument/2006/relationships/footnotes" Target="footnotes.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Relationship Id="rId43" Type="http://schemas.openxmlformats.org/officeDocument/2006/relationships/customXml" Target="../customXml/item2.xml"/><Relationship Id="rId44" Type="http://schemas.openxmlformats.org/officeDocument/2006/relationships/customXml" Target="../customXml/item3.xml"/><Relationship Id="rId45" Type="http://schemas.openxmlformats.org/officeDocument/2006/relationships/customXml" Target="../customXml/item4.xml"/><Relationship Id="rId46" Type="http://schemas.openxmlformats.org/officeDocument/2006/relationships/customXml" Target="../customXml/item5.xml"/><Relationship Id="rId47" Type="http://schemas.openxmlformats.org/officeDocument/2006/relationships/customXml" Target="../customXml/item6.xml"/><Relationship Id="rId48"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Application>AlterOffice/3.4.0.9$Linux_X86_64 LibreOffice_project/b8daf9e823b1a5463a2f48435ddc2e8696e7d4fc</Application>
  <AppVersion>15.0000</AppVersion>
  <Pages>37</Pages>
  <Words>12960</Words>
  <Characters>92229</Characters>
  <CharactersWithSpaces>99920</CharactersWithSpaces>
  <Paragraphs>649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Суанат Далгатовна Исмаилова</cp:lastModifiedBy>
  <cp:lastPrinted>2016-12-15T13:00:00Z</cp:lastPrinted>
  <dcterms:modified xsi:type="dcterms:W3CDTF">2026-04-01T11:51:52Z</dcterms:modified>
  <cp:revision>133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