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b w:val="false"/>
          <w:i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 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2: 86.21.10 О</w:t>
      </w:r>
      <w:r>
        <w:rPr>
          <w:sz w:val="28"/>
          <w:szCs w:val="28"/>
        </w:rPr>
        <w:t>казание услуг по проведению предрейсовых и послерейсовых осмотров водителей автомобиле</w:t>
      </w:r>
      <w:r>
        <w:rPr/>
        <w:t>й и работников, привлеченных к управлению транспортными средствами Кубанского филиала АО «Гидроремонт-ВКК» в г. Невинномысск.</w:t>
      </w:r>
    </w:p>
    <w:p>
      <w:pPr>
        <w:pStyle w:val="110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110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0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sectPr>
          <w:headerReference w:type="default" r:id="rId2"/>
          <w:type w:val="nextPage"/>
          <w:pgSz w:w="11906" w:h="16838"/>
          <w:pgMar w:left="851" w:right="1133" w:gutter="0" w:header="680" w:top="737" w:footer="0" w:bottom="284"/>
          <w:pgNumType w:fmt="decimal"/>
          <w:formProt w:val="false"/>
          <w:textDirection w:val="lrTb"/>
          <w:docGrid w:type="default" w:linePitch="381" w:charSpace="0"/>
        </w:sectPr>
        <w:pStyle w:val="110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/>
        <w:t xml:space="preserve">                     </w:t>
      </w:r>
    </w:p>
    <w:p>
      <w:pPr>
        <w:pStyle w:val="Heading1"/>
        <w:numPr>
          <w:ilvl w:val="0"/>
          <w:numId w:val="0"/>
        </w:numPr>
        <w:ind w:hanging="0" w:left="142"/>
        <w:jc w:val="center"/>
        <w:rPr>
          <w:b w:val="false"/>
        </w:rPr>
      </w:pPr>
      <w:bookmarkStart w:id="0" w:name="_Toc126151295"/>
      <w:r>
        <w:rPr/>
        <w:t>СОДЕРЖАНИЕ</w:t>
      </w:r>
      <w:bookmarkEnd w:id="0"/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6"/>
              <w:vanish w:val="false"/>
            </w:rPr>
            <w:instrText xml:space="preserve"> TOC \z \o "1-4" \u \h</w:instrText>
          </w:r>
          <w:r>
            <w:rPr>
              <w:webHidden/>
              <w:rStyle w:val="Style16"/>
              <w:vanish w:val="false"/>
            </w:rPr>
            <w:fldChar w:fldCharType="separate"/>
          </w:r>
          <w:hyperlink w:anchor="_Toc12615129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</w:rPr>
              <w:t>СОДЕРЖАНИЕ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6151296">
            <w:r>
              <w:rPr>
                <w:webHidden/>
                <w:rStyle w:val="Style16"/>
                <w:vanish w:val="false"/>
              </w:rPr>
              <w:t>1.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6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151297">
            <w:r>
              <w:rPr>
                <w:webHidden/>
                <w:rStyle w:val="Style16"/>
                <w:iCs/>
                <w:vanish w:val="false"/>
              </w:rPr>
              <w:t>1.1.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6"/>
              </w:rPr>
              <w:t>Наименование представляемых 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/>
          </w:pPr>
          <w:hyperlink w:anchor="_Toc126151298">
            <w:r>
              <w:rPr>
                <w:webHidden/>
                <w:rStyle w:val="Style16"/>
                <w:iCs/>
                <w:vanish w:val="false"/>
              </w:rPr>
              <w:t>1.2.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6"/>
              </w:rPr>
              <w:t>Цель оказания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6151303">
            <w:r>
              <w:rPr>
                <w:webHidden/>
                <w:rStyle w:val="Style16"/>
                <w:vanish w:val="false"/>
              </w:rPr>
              <w:t>2.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6"/>
              </w:rPr>
              <w:t>Требования к оказанию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151304">
            <w:r>
              <w:rPr>
                <w:webHidden/>
                <w:rStyle w:val="Style16"/>
                <w:iCs/>
                <w:vanish w:val="false"/>
              </w:rPr>
              <w:t>2.1.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6"/>
              </w:rPr>
              <w:t>Требования к объемам и срокам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151305">
            <w:r>
              <w:rPr>
                <w:webHidden/>
                <w:rStyle w:val="Style16"/>
                <w:vanish w:val="false"/>
              </w:rPr>
              <w:t>2.1.1.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6"/>
              </w:rPr>
              <w:t>Перечень и объем оказываемых услуг</w:t>
            </w:r>
            <w:r>
              <w:rPr>
                <w:rStyle w:val="Style16"/>
                <w:vanish w:val="false"/>
              </w:rPr>
              <w:tab/>
            </w:r>
          </w:hyperlink>
          <w:r>
            <w:rPr/>
            <w:t>3</w:t>
          </w:r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615130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</w:rPr>
              <w:t>Таблица 1.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1513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</w:rPr>
              <w:t>2.1.2.Требования к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615130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</w:rPr>
              <w:t>Таблица 2. Требования по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6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tabs>
          <w:tab w:val="clear" w:pos="708"/>
          <w:tab w:val="left" w:pos="8508" w:leader="none"/>
        </w:tabs>
        <w:ind w:hanging="0" w:left="0"/>
        <w:rPr/>
      </w:pPr>
      <w:hyperlink w:anchor="_Toc126151310">
        <w:r>
          <w:rPr>
            <w:rStyle w:val="Style16"/>
            <w:vanish w:val="false"/>
          </w:rPr>
          <w:t>Таблица 3. Требования к качеству услуг…………………………………………….......….</w:t>
        </w:r>
      </w:hyperlink>
      <w:r>
        <w:rPr/>
        <w:t>.........3</w:t>
        <w:tab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tabs>
          <w:tab w:val="clear" w:pos="708"/>
          <w:tab w:val="left" w:pos="3828" w:leader="none"/>
        </w:tabs>
        <w:ind w:firstLine="66"/>
        <w:rPr>
          <w:caps/>
          <w:sz w:val="26"/>
          <w:szCs w:val="26"/>
        </w:rPr>
      </w:pPr>
      <w:bookmarkStart w:id="1" w:name="_Toc51339692"/>
      <w:bookmarkStart w:id="2" w:name="_Toc126151296"/>
      <w:r>
        <w:rPr>
          <w:sz w:val="26"/>
          <w:szCs w:val="26"/>
        </w:rPr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3" w:name="_Toc46743506"/>
      <w:bookmarkStart w:id="4" w:name="_Toc126151297"/>
      <w:r>
        <w:rPr>
          <w:sz w:val="24"/>
          <w:szCs w:val="24"/>
        </w:rPr>
        <w:t xml:space="preserve">Наименование </w:t>
      </w:r>
      <w:bookmarkEnd w:id="3"/>
      <w:bookmarkEnd w:id="4"/>
      <w:r>
        <w:rPr>
          <w:sz w:val="24"/>
          <w:szCs w:val="24"/>
          <w:lang w:val="ru-RU"/>
        </w:rPr>
        <w:t>закупаемой продукции</w:t>
      </w:r>
    </w:p>
    <w:p>
      <w:pPr>
        <w:pStyle w:val="Normal"/>
        <w:bidi w:val="0"/>
        <w:jc w:val="both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ОКПД 2: 86.21.10  </w:t>
      </w:r>
      <w:r>
        <w:rPr>
          <w:sz w:val="24"/>
          <w:szCs w:val="24"/>
        </w:rPr>
        <w:t>Оказание услуг по проведению предрейсовых и послерейсовых осмотров водителей автомобилей и работников, привлеченных к управлению транспортными средствами Кубанского филиала АО «Гидроремонт-ВКК» в г. Невинномысск.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5" w:name="_Toc54646398"/>
      <w:bookmarkStart w:id="6" w:name="_Toc46743507"/>
      <w:r>
        <w:rPr>
          <w:sz w:val="24"/>
          <w:szCs w:val="24"/>
          <w:lang w:val="ru-RU"/>
        </w:rPr>
        <w:t xml:space="preserve"> </w:t>
      </w:r>
      <w:bookmarkStart w:id="7" w:name="_Toc126151298"/>
      <w:r>
        <w:rPr>
          <w:sz w:val="24"/>
          <w:szCs w:val="24"/>
        </w:rPr>
        <w:t xml:space="preserve">Цель </w:t>
      </w:r>
      <w:bookmarkEnd w:id="6"/>
      <w:bookmarkEnd w:id="7"/>
      <w:r>
        <w:rPr>
          <w:sz w:val="24"/>
          <w:szCs w:val="24"/>
          <w:lang w:val="ru-RU"/>
        </w:rPr>
        <w:t>оказания услуг</w:t>
      </w:r>
      <w:r>
        <w:rPr>
          <w:sz w:val="24"/>
          <w:szCs w:val="24"/>
        </w:rPr>
        <w:t xml:space="preserve"> 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Оказание услуг по проведению предрейсовых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послерейсовых медицинских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осмотров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работников Кубанского филиала АО «Гидроремонт-ВКК» в г. Невинномысск</w:t>
      </w:r>
      <w:r>
        <w:rPr>
          <w:bCs/>
          <w:sz w:val="24"/>
          <w:szCs w:val="24"/>
        </w:rPr>
        <w:t xml:space="preserve"> в целях соблюдения </w:t>
      </w:r>
      <w:r>
        <w:rPr>
          <w:sz w:val="24"/>
          <w:szCs w:val="24"/>
        </w:rPr>
        <w:t xml:space="preserve">приказа Министерства здравоохранения Российской федерации </w:t>
      </w:r>
      <w:r>
        <w:rPr>
          <w:bCs/>
          <w:sz w:val="24"/>
          <w:szCs w:val="24"/>
        </w:rPr>
        <w:t>от 30 мая 2023 г. N 266н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«Об утверждении Порядка и периодичности проведения предсменных, предрейсовых и послесменных, послерейсовых медицинских осмотров, медицинских осмотров в течении рабочего  дня (смены) и перечня включаемых в них исследований», зарегистрированных в Минюсте России 30 мая 2023 г. N 73621</w:t>
      </w:r>
      <w:r>
        <w:rPr>
          <w:sz w:val="24"/>
          <w:szCs w:val="24"/>
          <w:lang w:eastAsia="en-US"/>
        </w:rPr>
        <w:t>, письма Минздрава России от 21.08.2003 N 2510/9468-03-32 «О предрейсовых медицинских осмотрах водителей транспортных средств», приказа Минздрава СССР от 29.09.1989 N 555 «О совершенствовании системы медицинских осмотров трудящихся и водителей индивидуальных транспортных средств».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ascii="Times New Roman" w:hAnsi="Times New Roman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Heading1"/>
        <w:numPr>
          <w:ilvl w:val="0"/>
          <w:numId w:val="3"/>
        </w:numPr>
        <w:tabs>
          <w:tab w:val="clear" w:pos="708"/>
          <w:tab w:val="left" w:pos="567" w:leader="none"/>
        </w:tabs>
        <w:spacing w:before="0" w:after="0"/>
        <w:ind w:hanging="0" w:left="0"/>
        <w:jc w:val="center"/>
        <w:rPr>
          <w:rFonts w:ascii="Times New Roman" w:hAnsi="Times New Roman"/>
          <w:sz w:val="24"/>
          <w:szCs w:val="24"/>
        </w:rPr>
      </w:pPr>
      <w:bookmarkStart w:id="8" w:name="_Toc51339693"/>
      <w:bookmarkStart w:id="9" w:name="_Toc126151303"/>
      <w:bookmarkStart w:id="10" w:name="_Toc50125126"/>
      <w:bookmarkEnd w:id="10"/>
      <w:r>
        <w:rPr>
          <w:sz w:val="24"/>
          <w:szCs w:val="24"/>
        </w:rPr>
        <w:t xml:space="preserve">Требования к </w:t>
      </w:r>
      <w:bookmarkEnd w:id="8"/>
      <w:bookmarkEnd w:id="9"/>
      <w:r>
        <w:rPr>
          <w:sz w:val="24"/>
          <w:szCs w:val="24"/>
          <w:lang w:val="ru-RU"/>
        </w:rPr>
        <w:t>продукции</w:t>
      </w:r>
    </w:p>
    <w:p>
      <w:pPr>
        <w:pStyle w:val="Heading4"/>
        <w:numPr>
          <w:ilvl w:val="1"/>
          <w:numId w:val="3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11" w:name="_Toc126151304"/>
      <w:r>
        <w:rPr>
          <w:sz w:val="24"/>
          <w:szCs w:val="24"/>
        </w:rPr>
        <w:t xml:space="preserve">Требования к объемам и срокам </w:t>
      </w:r>
      <w:bookmarkEnd w:id="11"/>
      <w:r>
        <w:rPr>
          <w:sz w:val="24"/>
          <w:szCs w:val="24"/>
          <w:lang w:val="ru-RU"/>
        </w:rPr>
        <w:t>оказания услуг</w:t>
      </w:r>
    </w:p>
    <w:p>
      <w:pPr>
        <w:pStyle w:val="Heading3"/>
        <w:numPr>
          <w:ilvl w:val="2"/>
          <w:numId w:val="3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12" w:name="_Toc124516419"/>
      <w:bookmarkStart w:id="13" w:name="_Toc51339695"/>
      <w:r>
        <w:rPr>
          <w:sz w:val="24"/>
          <w:szCs w:val="24"/>
          <w:lang w:val="ru-RU"/>
        </w:rPr>
        <w:t>Требования к видам и объему услуг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14" w:name="_Toc12615130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. </w:t>
      </w:r>
      <w:bookmarkEnd w:id="12"/>
      <w:bookmarkEnd w:id="13"/>
      <w:r>
        <w:rPr>
          <w:sz w:val="24"/>
          <w:szCs w:val="24"/>
          <w:lang w:val="ru-RU"/>
        </w:rPr>
        <w:t xml:space="preserve">Перечень и объем </w:t>
      </w:r>
      <w:bookmarkEnd w:id="14"/>
      <w:r>
        <w:rPr>
          <w:sz w:val="24"/>
          <w:szCs w:val="24"/>
          <w:lang w:val="ru-RU"/>
        </w:rPr>
        <w:t>оказываемых услуг</w:t>
      </w:r>
    </w:p>
    <w:tbl>
      <w:tblPr>
        <w:tblW w:w="104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36"/>
        <w:gridCol w:w="5962"/>
        <w:gridCol w:w="3632"/>
      </w:tblGrid>
      <w:tr>
        <w:trPr/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 проведения осмотров в год</w:t>
            </w:r>
          </w:p>
        </w:tc>
      </w:tr>
      <w:tr>
        <w:trPr/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hanging="25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предрейсовых медицинских осмотров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4 000</w:t>
            </w:r>
          </w:p>
        </w:tc>
      </w:tr>
      <w:tr>
        <w:trPr>
          <w:trHeight w:val="415" w:hRule="atLeast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hanging="25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послерейсовых медицинских осмотров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3 350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rFonts w:ascii="Times New Roman" w:hAnsi="Times New Roman"/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0"/>
          <w:numId w:val="0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15" w:name="_Toc126151307"/>
      <w:bookmarkStart w:id="16" w:name="_Toc51339696"/>
      <w:r>
        <w:rPr>
          <w:sz w:val="24"/>
          <w:szCs w:val="24"/>
          <w:lang w:val="ru-RU"/>
        </w:rPr>
        <w:t xml:space="preserve">2.1.2. Требования </w:t>
      </w:r>
      <w:bookmarkEnd w:id="16"/>
      <w:r>
        <w:rPr>
          <w:sz w:val="24"/>
          <w:szCs w:val="24"/>
          <w:lang w:val="ru-RU"/>
        </w:rPr>
        <w:t xml:space="preserve">к срокам </w:t>
      </w:r>
      <w:bookmarkEnd w:id="15"/>
      <w:r>
        <w:rPr>
          <w:sz w:val="24"/>
          <w:szCs w:val="24"/>
          <w:lang w:val="ru-RU"/>
        </w:rPr>
        <w:t>оказания услуг</w:t>
      </w:r>
      <w:bookmarkStart w:id="17" w:name="_GoBack"/>
      <w:bookmarkEnd w:id="17"/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18" w:name="_Toc51339697"/>
      <w:bookmarkStart w:id="19" w:name="_Toc124516421"/>
      <w:bookmarkStart w:id="20" w:name="_Toc126151308"/>
      <w:bookmarkStart w:id="21" w:name="_Toc50125127"/>
      <w:bookmarkStart w:id="22" w:name="_Toc501251261"/>
      <w:bookmarkEnd w:id="2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23" w:name="_Hlk50465284"/>
      <w:r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0"/>
      <w:bookmarkEnd w:id="21"/>
      <w:bookmarkEnd w:id="23"/>
      <w:r>
        <w:rPr>
          <w:sz w:val="24"/>
          <w:szCs w:val="24"/>
          <w:lang w:val="ru-RU"/>
        </w:rPr>
        <w:t>оказания услуг</w:t>
      </w:r>
    </w:p>
    <w:tbl>
      <w:tblPr>
        <w:tblW w:w="103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0"/>
        <w:gridCol w:w="5282"/>
        <w:gridCol w:w="1649"/>
        <w:gridCol w:w="2580"/>
      </w:tblGrid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оказания услуг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4" w:name="_Toc46743510"/>
            <w:r>
              <w:rPr>
                <w:b/>
                <w:sz w:val="24"/>
                <w:szCs w:val="24"/>
              </w:rPr>
              <w:t>4</w:t>
            </w:r>
            <w:bookmarkEnd w:id="24"/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ind w:hanging="25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 2: 86.21.10  </w:t>
            </w:r>
            <w:r>
              <w:rPr>
                <w:sz w:val="24"/>
                <w:szCs w:val="24"/>
              </w:rPr>
              <w:t>Оказание услуг по проведению предрейсовых и послерейсовых осмотров водителей автомобилей и работников, привлеченных к управлению транспортными средствами Кубанского филиала АО «Гидроремонт-ВКК» в г. Невинномысск.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01.01.2027г.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31.12.2027г.*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расчетам до полного исполнения обязательств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* Предрейсовые (послерейсовые) медицинские осмотры проводится в течение года ежедневно перед началом рейса (по окончании рейса), в соответствии с   приказом Министерства здравоохранения Российской федерации </w:t>
      </w:r>
      <w:r>
        <w:rPr>
          <w:bCs/>
          <w:sz w:val="24"/>
          <w:szCs w:val="24"/>
        </w:rPr>
        <w:t>от 30 мая 2023 г. N 266н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«Об утверждении Порядка и периодичности проведения предсменных, предрейсовых и послесменных, послерейсовых медицинских осмотров, медицинских осмотров в течении рабочего  дня (смены) и перечня включаемых в них исследований», зарегистрированных в Минюсте России 30 мая 2023 г. N 73621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0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25" w:name="_Toc126151309"/>
      <w:r>
        <w:rPr>
          <w:sz w:val="24"/>
          <w:szCs w:val="24"/>
          <w:lang w:val="ru-RU"/>
        </w:rPr>
        <w:t xml:space="preserve">2.3. </w:t>
      </w:r>
      <w:r>
        <w:rPr>
          <w:sz w:val="24"/>
          <w:szCs w:val="24"/>
        </w:rPr>
        <w:t xml:space="preserve">Требования к </w:t>
      </w:r>
      <w:r>
        <w:rPr>
          <w:sz w:val="24"/>
          <w:szCs w:val="24"/>
          <w:lang w:val="ru-RU"/>
        </w:rPr>
        <w:t xml:space="preserve">качеству </w:t>
      </w:r>
      <w:bookmarkEnd w:id="25"/>
      <w:r>
        <w:rPr>
          <w:sz w:val="24"/>
          <w:szCs w:val="24"/>
          <w:lang w:val="ru-RU"/>
        </w:rPr>
        <w:t>услуг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26" w:name="_Toc126151310"/>
      <w:bookmarkStart w:id="27" w:name="_Toc124516423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 xml:space="preserve">качеству </w:t>
      </w:r>
      <w:bookmarkEnd w:id="26"/>
      <w:bookmarkEnd w:id="27"/>
      <w:r>
        <w:rPr>
          <w:sz w:val="24"/>
          <w:szCs w:val="24"/>
          <w:lang w:val="ru-RU"/>
        </w:rPr>
        <w:t>услуг</w:t>
      </w:r>
      <w:r>
        <w:rPr>
          <w:sz w:val="24"/>
          <w:szCs w:val="24"/>
        </w:rPr>
        <w:t xml:space="preserve"> </w:t>
      </w:r>
    </w:p>
    <w:tbl>
      <w:tblPr>
        <w:tblStyle w:val="af"/>
        <w:tblW w:w="1036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1"/>
        <w:gridCol w:w="2422"/>
        <w:gridCol w:w="7096"/>
      </w:tblGrid>
      <w:tr>
        <w:trPr>
          <w:trHeight w:val="580" w:hRule="atLeast"/>
        </w:trPr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42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09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2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 w:themeFill="background1"/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hd w:val="clear" w:color="auto" w:fill="FFFFFF" w:themeFill="background1"/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>
          <w:trHeight w:val="115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suppressAutoHyphens w:val="true"/>
              <w:spacing w:before="0" w:after="0"/>
              <w:ind w:hanging="360" w:left="36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2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условия</w:t>
            </w:r>
          </w:p>
        </w:tc>
        <w:tc>
          <w:tcPr>
            <w:tcW w:w="709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принимает на себя обязательства по выполнению услуг, по проведению предрейсовых и</w:t>
            </w:r>
            <w:r>
              <w:rPr>
                <w:rFonts w:eastAsia="Times New Roman" w:cs="Times New Roman"/>
                <w:spacing w:val="1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послерейсовых</w:t>
            </w:r>
            <w:r>
              <w:rPr>
                <w:rFonts w:eastAsia="Times New Roman" w:cs="Times New Roman"/>
                <w:spacing w:val="-1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медицинских</w:t>
            </w:r>
            <w:r>
              <w:rPr>
                <w:rFonts w:eastAsia="Times New Roman" w:cs="Times New Roman"/>
                <w:spacing w:val="-9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осмотров</w:t>
            </w:r>
            <w:r>
              <w:rPr>
                <w:rFonts w:eastAsia="Times New Roman" w:cs="Times New Roman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работников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suppressAutoHyphens w:val="true"/>
              <w:spacing w:before="0" w:after="0"/>
              <w:ind w:hanging="360" w:left="36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2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Наличие лицензии на осуществление медицинской деятельности, предусматривающей выполнение услуг по медицинским осмотрам (предрейсовым, послерейсовым).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>
          <w:trHeight w:val="1582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42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709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Предрейсовые, послерейсовые медицинские осмотры, проводятся очно в медицинском кабинете без использования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sz w:val="24"/>
                <w:szCs w:val="24"/>
                <w:shd w:fill="auto" w:val="clear"/>
              </w:rPr>
              <w:t>Медицинское учреждение должно располагаться в радиусе не более 10 км от места расположения Кубанского филиала: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sz w:val="24"/>
                <w:szCs w:val="24"/>
                <w:shd w:fill="auto" w:val="clear"/>
              </w:rPr>
              <w:t>С</w:t>
            </w:r>
            <w:r>
              <w:rPr>
                <w:b w:val="false"/>
                <w:sz w:val="24"/>
                <w:szCs w:val="24"/>
                <w:shd w:fill="auto" w:val="clear"/>
                <w:lang w:val="ru-RU"/>
              </w:rPr>
              <w:t>тавропольский край, Кочубеевский район, с. Кочубеевское, автодорога «Кавказ» 246км+1200 м (справа).</w:t>
            </w:r>
          </w:p>
        </w:tc>
      </w:tr>
      <w:tr>
        <w:trPr>
          <w:trHeight w:val="2716" w:hRule="atLeast"/>
        </w:trPr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42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Предрейсовый и послерейсовый медицинский осмотр включает проведение медицинским персоналом Исполнителя следующих мероприятий: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360"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Сбор анамнеза.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-Определение артериального давления и пульса у водителей.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 наличии показаний проведение любых других разрешенных медицинских исследований, необходимых для решения вопроса о допуске к работе водителя.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Для водителей, больных гипертонической болезнью, медицинским персоналом Исполнителя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-При решении вопроса о возможности допуска водителя к управлению автомобилем медицинский работник Исполнителя, проводящий предрейсовый, медицинский осмотр,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Водители не допускаются к управлению транспортным средством в следующих случаях: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выявлении признаков временной нетрудоспособности;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положительной пробе на алкоголь, на другие психотропные вещества и наркотики в выдыхаемом воздухе или биологических субстратах;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выявлении признаков воздействия наркотических веществ.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нести все расходы  на заработную плату, поверку и программное обеспечение дистанционных медицинских изделий, оплату ремонта и запасных частей, налоговых пошлин, страховых сборов, штрафов, и иных расходов, возникающих в рамках Договора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360" w:leader="none"/>
              </w:tabs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2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 к кабинету</w:t>
            </w:r>
          </w:p>
        </w:tc>
        <w:tc>
          <w:tcPr>
            <w:tcW w:w="70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Медицинский кабинет должен состоять из помещения, состоящее не менее чем из двух комнат: комнаты для проведения осмотров и комнаты для отбора биологических сред.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1.3.2</w:t>
            </w:r>
          </w:p>
        </w:tc>
        <w:tc>
          <w:tcPr>
            <w:tcW w:w="2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Оснащение приборами, оборудованием</w:t>
            </w:r>
          </w:p>
        </w:tc>
        <w:tc>
          <w:tcPr>
            <w:tcW w:w="709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Оснащение кабинета, должно соответствовать п.4 Приложения № 2 Письма Минздрава РФ от 21.08.2003 N 2510/9468-03-32 "О предрейсовых медицинских осмотрах водителей транспортных средств":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кушетка медицинская;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письменный стол, стулья, настольная лампа, шкаф для одежды, вешалка для верхней одежды, напольный коврик, сейф;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прибор для определения артериального давления - 2 шт., термометр - 3 шт., стетофонендоскоп - 2 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прибор для определения паров спирта в выдыхаемом воздухе - 2 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алкометр, экспресс-тесты на алкоголь и наркотики. Постоянный запас в количестве: алкометры - 2 шт., экспресс-тесты на наркотики - 10 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столик для медицинского оборудования - 1 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шпатели медицинские - 10 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сумка с набором медикаментов для оказания неотложной медицинской помощи - 1 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оборудованная комната для отбора биологических сред.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</w:t>
            </w:r>
          </w:p>
        </w:tc>
        <w:tc>
          <w:tcPr>
            <w:tcW w:w="2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 к персоналу</w:t>
            </w:r>
          </w:p>
        </w:tc>
        <w:tc>
          <w:tcPr>
            <w:tcW w:w="70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Медицинский работник должен иметь высшее или среднее профессиональное образование и иметь соответствующий сертификат.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2.1.1</w:t>
            </w:r>
          </w:p>
        </w:tc>
        <w:tc>
          <w:tcPr>
            <w:tcW w:w="242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услуг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считаются оказанными Исполнителем и принятыми Заказчиком с момента подписания Сторонами Акта выполненных работ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2.2.1</w:t>
            </w:r>
          </w:p>
        </w:tc>
        <w:tc>
          <w:tcPr>
            <w:tcW w:w="242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Оформление документов по оказанию услуг</w:t>
            </w:r>
          </w:p>
        </w:tc>
        <w:tc>
          <w:tcPr>
            <w:tcW w:w="70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выполненных работ должен быть предоставлен Исполнителем в 2-х экземплярах</w:t>
            </w:r>
          </w:p>
        </w:tc>
      </w:tr>
      <w:tr>
        <w:trPr>
          <w:trHeight w:val="854" w:hRule="atLeast"/>
        </w:trPr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Ведение журналов на бумажном носителе, подписываемом медицинским работником: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Журнал регистрации предрейсовых, предсменных медицинских осмотров;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-Журнал регистрации медицинских осмотров в течение рабочего дня (смены), послесменных, послерейсовых медицинских осмотров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042" w:leader="none"/>
              </w:tabs>
              <w:suppressAutoHyphens w:val="true"/>
              <w:spacing w:before="0" w:after="0"/>
              <w:ind w:hanging="0" w:left="64" w:right="8"/>
              <w:contextualSpacing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Ведение путевых листов на бумажном носителе: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предрейсовый медицинский осмотр, к исполнению трудовых обязанностей допущен", "прошел послерейсовый медицинский осмотр" или "прошел послерейсовый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98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ind w:hanging="360" w:left="35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соблюдать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Приказа Министерства здравоохранения Российской федерации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от 30 мая 2023 г. N 266н</w:t>
            </w:r>
            <w:r>
              <w:rPr>
                <w:rFonts w:eastAsia="Times New Roman" w:cs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«Об утверждении Порядка и периодичности проведения предсменных, предрейсовых и послесменных, послерейсовых медицинских осмотров, медицинских осмотров в течении рабочего  дня (смены) и перечня включаемых в них исследований», зарегистрированных в Минюсте России 30 мая 2023 г. N 73621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, приказа Минздрава СССР от 29.09.1989 N 555 «О совершенствовании системы медицинских осмотров трудящихся и водителей индивидуальных транспортных средств»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Письмо Минздрава РФ от 21.08.2003 N 2510/9468-03-32 "О предрейсовых медицинских осмотрах водителей транспортных средств"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Исполнителя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несет ответственность за качество оказанных услуг, полноту и достоверность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предоставляемых данных, в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соответствии с настоящими техническими требованиями и действующими нормативными актами РФ.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suppressAutoHyphens w:val="true"/>
              <w:spacing w:before="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оказываемых услуг</w:t>
            </w:r>
          </w:p>
        </w:tc>
        <w:tc>
          <w:tcPr>
            <w:tcW w:w="709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suppressAutoHyphens w:val="true"/>
              <w:spacing w:before="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28" w:name="_Toc125982018"/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услуг  является фиксированной на протяжении всего срока действия договора</w:t>
            </w:r>
            <w:bookmarkEnd w:id="28"/>
          </w:p>
        </w:tc>
      </w:tr>
    </w:tbl>
    <w:p>
      <w:pPr>
        <w:pStyle w:val="Normal"/>
        <w:rPr>
          <w:rFonts w:ascii="Times New Roman" w:hAnsi="Times New Roman"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567" w:leader="none"/>
        </w:tabs>
        <w:ind w:hanging="0" w:left="0"/>
        <w:jc w:val="center"/>
        <w:outlineLvl w:val="0"/>
        <w:rPr>
          <w:rFonts w:ascii="Times New Roman" w:hAnsi="Times New Roman"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851" w:right="738" w:gutter="0" w:header="680" w:top="737" w:footer="0" w:bottom="28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6"/>
        <w:sz w:val="26"/>
        <w:spacing w:val="0"/>
        <w:i w:val="false"/>
        <w:u w:val="none"/>
        <w:b/>
        <w:kern w:val="0"/>
        <w:effect w:val="none"/>
        <w:szCs w:val="26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3.%1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1.1.%1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1.2.%1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72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ae1312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ae1312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Основной текст_"/>
    <w:basedOn w:val="DefaultParagraphFont"/>
    <w:link w:val="110"/>
    <w:uiPriority w:val="99"/>
    <w:qFormat/>
    <w:locked/>
    <w:rsid w:val="00da3a59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uiPriority w:val="99"/>
    <w:qFormat/>
    <w:rsid w:val="00f03e55"/>
    <w:rPr>
      <w:sz w:val="28"/>
      <w:szCs w:val="28"/>
    </w:rPr>
  </w:style>
  <w:style w:type="character" w:styleId="Style16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hanging="0" w:left="36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hanging="0"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hanging="0" w:left="-567" w:right="-766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fb0d8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b0d8f"/>
    <w:pPr>
      <w:tabs>
        <w:tab w:val="clear" w:pos="708"/>
        <w:tab w:val="left" w:pos="709" w:leader="none"/>
        <w:tab w:val="right" w:pos="9911" w:leader="dot"/>
      </w:tabs>
      <w:ind w:hanging="280" w:left="28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hanging="0"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hanging="0"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0c583a"/>
    <w:pPr>
      <w:tabs>
        <w:tab w:val="clear" w:pos="708"/>
        <w:tab w:val="left" w:pos="560" w:leader="none"/>
        <w:tab w:val="left" w:pos="709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1"/>
    <w:qFormat/>
    <w:rsid w:val="00d22f6d"/>
    <w:pPr>
      <w:spacing w:before="0" w:after="0"/>
      <w:ind w:hanging="0"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hanging="0"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hanging="0" w:left="57" w:right="57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hanging="0"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hanging="0"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hanging="0"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hanging="0"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hanging="0"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сновной текст1"/>
    <w:basedOn w:val="Normal"/>
    <w:link w:val="Style14"/>
    <w:uiPriority w:val="99"/>
    <w:qFormat/>
    <w:rsid w:val="00da3a59"/>
    <w:pPr>
      <w:widowControl w:val="false"/>
      <w:shd w:val="clear" w:color="auto" w:fill="FFFFFF"/>
      <w:spacing w:lineRule="exact" w:line="302"/>
    </w:pPr>
    <w:rPr/>
  </w:style>
  <w:style w:type="paragraph" w:styleId="No-indent" w:customStyle="1">
    <w:name w:val="no-indent"/>
    <w:basedOn w:val="Normal"/>
    <w:qFormat/>
    <w:rsid w:val="00301cc2"/>
    <w:pPr>
      <w:spacing w:beforeAutospacing="1" w:afterAutospacing="1"/>
    </w:pPr>
    <w:rPr>
      <w:sz w:val="24"/>
      <w:szCs w:val="24"/>
    </w:rPr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907BA-F54B-4EE5-A0ED-38CF8AB1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AlterOffice/2026.1.0.0$Linux_X86_64 LibreOffice_project/a0185688e0f3f228c7940c57a96eaa0ebba58757</Application>
  <AppVersion>15.0000</AppVersion>
  <Pages>6</Pages>
  <Words>1264</Words>
  <Characters>8726</Characters>
  <CharactersWithSpaces>10096</CharactersWithSpaces>
  <Paragraphs>150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2023-10-13T11:22:00Z</dcterms:created>
  <dc:creator>Быстров Олег Геннадьевич</dc:creator>
  <dc:description/>
  <dc:language>ru-RU</dc:language>
  <cp:lastModifiedBy>velikosvyatnn@corp.gidroogk.com</cp:lastModifiedBy>
  <cp:lastPrinted>2025-10-07T16:24:54Z</cp:lastPrinted>
  <dcterms:modified xsi:type="dcterms:W3CDTF">2026-06-04T13:39:19Z</dcterms:modified>
  <cp:revision>29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