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media/image1.png" ContentType="image/png"/>
  <Override PartName="/word/header15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1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footer6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Технические требования</w:t>
      </w:r>
    </w:p>
    <w:p>
      <w:pPr>
        <w:pStyle w:val="Normal"/>
        <w:jc w:val="center"/>
        <w:rPr>
          <w:rFonts w:eastAsia="Calibri"/>
          <w:sz w:val="26"/>
          <w:szCs w:val="26"/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</w:rPr>
        <w:t>ОКПД2 43.29.12 Выполнение работ по монтажу металлоконструкций для нужд Волжского филиала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sz w:val="26"/>
          <w:szCs w:val="26"/>
          <w:shd w:fill="auto" w:val="clear"/>
        </w:rPr>
        <w:t>лот № 0023-ТПиР БЕЗОП ДОХ-2026-ГРВКК-ВолФ</w:t>
      </w:r>
    </w:p>
    <w:p>
      <w:pPr>
        <w:pStyle w:val="Normal"/>
        <w:jc w:val="center"/>
        <w:rPr>
          <w:rFonts w:eastAsia="Calibri"/>
          <w:sz w:val="26"/>
          <w:szCs w:val="26"/>
          <w:highlight w:val="none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Normal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</w:rPr>
      </w:pPr>
      <w:bookmarkStart w:id="0" w:name="__RefHeading___Toc47653_2939175109"/>
      <w:bookmarkStart w:id="1" w:name="_Toc51921655"/>
      <w:bookmarkStart w:id="2" w:name="_Toc125123764"/>
      <w:bookmarkEnd w:id="0"/>
      <w:r>
        <w:rPr/>
        <w:t>Общие сведения</w:t>
      </w:r>
      <w:bookmarkEnd w:id="1"/>
      <w:bookmarkEnd w:id="2"/>
    </w:p>
    <w:p>
      <w:pPr>
        <w:pStyle w:val="Normal"/>
        <w:rPr>
          <w:rStyle w:val="Style8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709" w:hanging="709"/>
        <w:rPr>
          <w:sz w:val="28"/>
        </w:rPr>
      </w:pPr>
      <w:bookmarkStart w:id="3" w:name="__RefHeading___Toc47655_2939175109"/>
      <w:bookmarkStart w:id="4" w:name="_Toc125123765"/>
      <w:bookmarkEnd w:id="3"/>
      <w:r>
        <w:rPr/>
        <w:t>Обозначения и сокращения</w:t>
      </w:r>
      <w:bookmarkEnd w:id="4"/>
    </w:p>
    <w:p>
      <w:pPr>
        <w:pStyle w:val="Normal"/>
        <w:keepNext w:val="true"/>
        <w:keepLines/>
        <w:spacing w:before="120" w:after="120"/>
        <w:jc w:val="both"/>
        <w:rPr>
          <w:b/>
          <w:bCs/>
          <w:i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Нормативно-технический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Технологическая карта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Подъёмное сооружение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РТН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Ростехнадзор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ПДЭК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Постоянно действующая экзаменационная комиссия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Охрана труда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КРУЭ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Комплектное распределительное устройство с элегазовой изоляцией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709" w:hanging="709"/>
        <w:rPr/>
      </w:pPr>
      <w:bookmarkStart w:id="5" w:name="__RefHeading___Toc47657_2939175109"/>
      <w:bookmarkStart w:id="6" w:name="_Toc125123766"/>
      <w:bookmarkEnd w:id="5"/>
      <w:r>
        <w:rPr/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iCs/>
          <w:sz w:val="24"/>
          <w:szCs w:val="24"/>
          <w:shd w:fill="auto" w:val="clear"/>
        </w:rPr>
        <w:t>ОКПД2 43.29.12 Выполнение работ по монтажу металлоконструкций для нужд Волжского филиала</w:t>
      </w:r>
    </w:p>
    <w:p>
      <w:pPr>
        <w:pStyle w:val="Heading4"/>
        <w:numPr>
          <w:ilvl w:val="1"/>
          <w:numId w:val="3"/>
        </w:numPr>
        <w:ind w:left="709" w:hanging="709"/>
        <w:rPr>
          <w:lang w:val="ru-RU"/>
        </w:rPr>
      </w:pPr>
      <w:bookmarkStart w:id="7" w:name="__RefHeading___Toc47659_2939175109"/>
      <w:bookmarkStart w:id="8" w:name="_Toc125123767"/>
      <w:bookmarkEnd w:id="7"/>
      <w:r>
        <w:rPr/>
        <w:t xml:space="preserve">Цель </w:t>
      </w:r>
      <w:r>
        <w:rPr>
          <w:lang w:val="ru-RU"/>
        </w:rPr>
        <w:t>выполнения работ</w:t>
      </w:r>
      <w:bookmarkEnd w:id="8"/>
      <w:r>
        <w:rPr>
          <w:lang w:val="ru-RU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cs="Times New Roman" w:eastAsiaTheme="minorHAnsi"/>
          <w:sz w:val="24"/>
          <w:szCs w:val="24"/>
          <w:lang w:eastAsia="en-US"/>
        </w:rPr>
        <w:t>Целью работы является создание ограждающ</w:t>
      </w:r>
      <w:r>
        <w:rPr>
          <w:rFonts w:eastAsia="Calibri" w:cs="Times New Roman" w:eastAsiaTheme="minorHAnsi"/>
          <w:sz w:val="24"/>
          <w:szCs w:val="24"/>
          <w:lang w:eastAsia="en-US"/>
        </w:rPr>
        <w:t>их</w:t>
      </w:r>
      <w:r>
        <w:rPr>
          <w:rFonts w:eastAsia="Calibri" w:cs="Times New Roman" w:eastAsiaTheme="minorHAnsi"/>
          <w:sz w:val="24"/>
          <w:szCs w:val="24"/>
          <w:lang w:eastAsia="en-US"/>
        </w:rPr>
        <w:t xml:space="preserve"> конструкци</w:t>
      </w:r>
      <w:r>
        <w:rPr>
          <w:rFonts w:eastAsia="Calibri" w:cs="Times New Roman" w:eastAsiaTheme="minorHAnsi"/>
          <w:sz w:val="24"/>
          <w:szCs w:val="24"/>
          <w:lang w:eastAsia="en-US"/>
        </w:rPr>
        <w:t>й</w:t>
      </w:r>
      <w:r>
        <w:rPr>
          <w:rFonts w:eastAsia="Calibri" w:cs="Times New Roman" w:eastAsiaTheme="minorHAnsi"/>
          <w:sz w:val="24"/>
          <w:szCs w:val="24"/>
          <w:lang w:eastAsia="en-US"/>
        </w:rPr>
        <w:t xml:space="preserve"> здания КРУЭ-500кВ Волжской ГЭС.</w:t>
      </w:r>
    </w:p>
    <w:p>
      <w:pPr>
        <w:pStyle w:val="Heading4"/>
        <w:numPr>
          <w:ilvl w:val="1"/>
          <w:numId w:val="3"/>
        </w:numPr>
        <w:ind w:left="709" w:hanging="709"/>
        <w:rPr>
          <w:b w:val="false"/>
          <w:i/>
          <w:i/>
          <w:iCs/>
          <w:shd w:fill="FFFF99" w:val="clear"/>
        </w:rPr>
      </w:pPr>
      <w:bookmarkStart w:id="9" w:name="__RefHeading___Toc47661_2939175109"/>
      <w:bookmarkStart w:id="10" w:name="_Hlk48661047"/>
      <w:bookmarkStart w:id="11" w:name="_Toc125123768"/>
      <w:bookmarkEnd w:id="9"/>
      <w:r>
        <w:rPr/>
        <w:t>Существующее положение</w:t>
      </w:r>
      <w:bookmarkEnd w:id="11"/>
      <w:r>
        <w:rPr>
          <w:lang w:val="ru-RU"/>
        </w:rPr>
        <w:t xml:space="preserve"> </w:t>
      </w:r>
      <w:bookmarkEnd w:id="10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КРУЭ-500 кВ представляет собой отдельно стоящее здание на верхнем бьефе грунтовой плотины №40 Волжской ГЭС.</w:t>
      </w:r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/>
      </w:pPr>
      <w:bookmarkStart w:id="12" w:name="__RefHeading___Toc47663_2939175109"/>
      <w:bookmarkStart w:id="13" w:name="_Toc125123769"/>
      <w:bookmarkEnd w:id="12"/>
      <w:r>
        <w:rPr/>
        <w:t>Таблица 1. Перечень объектов заказчика</w:t>
      </w:r>
      <w:bookmarkEnd w:id="13"/>
    </w:p>
    <w:tbl>
      <w:tblPr>
        <w:tblW w:w="10063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1"/>
        <w:gridCol w:w="2637"/>
        <w:gridCol w:w="3696"/>
        <w:gridCol w:w="2918"/>
      </w:tblGrid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>(место производства работ)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7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Здание КРУЭ-500 кВ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«РусГидро»-«Волжская ГЭС им. Ф.Г. Логинова» Российская Федерация, 404130, Волгоградская обл., г. Волжский, пр-т Ленина, д. 1А.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Производство работ осуществляется: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- вблизи объектов, находящихся под напряжением;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- в охранной зоне действующей воздушной линии электропередачи;</w:t>
      </w:r>
    </w:p>
    <w:p>
      <w:pPr>
        <w:pStyle w:val="Normal"/>
        <w:widowControl/>
        <w:suppressAutoHyphens w:val="true"/>
        <w:bidi w:val="0"/>
        <w:spacing w:before="0" w:after="0"/>
        <w:ind w:left="170" w:right="0" w:hanging="170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>- внутри объектов капитального строительства, внутренняя проводка в которых не обесточена,    что приведёт к ограничению действий рабочих;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4"/>
          <w:szCs w:val="24"/>
        </w:rPr>
        <w:t xml:space="preserve">- </w:t>
      </w:r>
      <w:r>
        <w:rPr>
          <w:i/>
          <w:iCs/>
          <w:color w:val="000000"/>
          <w:sz w:val="24"/>
          <w:szCs w:val="24"/>
        </w:rPr>
        <w:t>разветвленной сети транспортных и инженерных коммуникаций;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- стесненных условий для складирования материалов;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- действующего технологического оборудования;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/>
          <w:sz w:val="24"/>
          <w:szCs w:val="24"/>
        </w:rPr>
        <w:t>- движения технологического транспорта.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709" w:hanging="709"/>
        <w:rPr/>
      </w:pPr>
      <w:bookmarkStart w:id="14" w:name="__RefHeading___Toc47665_2939175109"/>
      <w:bookmarkStart w:id="15" w:name="_Toc125123770"/>
      <w:bookmarkStart w:id="16" w:name="_Toc51955686"/>
      <w:bookmarkStart w:id="17" w:name="_Toc51955803"/>
      <w:bookmarkStart w:id="18" w:name="_Toc51955737"/>
      <w:bookmarkStart w:id="19" w:name="_Toc51955799"/>
      <w:bookmarkStart w:id="20" w:name="_Toc51955848"/>
      <w:bookmarkStart w:id="21" w:name="_Toc51921824"/>
      <w:bookmarkStart w:id="22" w:name="_Toc51955687"/>
      <w:bookmarkStart w:id="23" w:name="_Toc51955736"/>
      <w:bookmarkStart w:id="24" w:name="_Toc51955800"/>
      <w:bookmarkStart w:id="25" w:name="_Toc51955849"/>
      <w:bookmarkStart w:id="26" w:name="_Toc51921825"/>
      <w:bookmarkStart w:id="27" w:name="_Toc51921823"/>
      <w:bookmarkStart w:id="28" w:name="_Toc51955847"/>
      <w:bookmarkStart w:id="29" w:name="_Toc51955798"/>
      <w:bookmarkStart w:id="30" w:name="_Toc51955734"/>
      <w:bookmarkStart w:id="31" w:name="_Toc51955685"/>
      <w:bookmarkStart w:id="32" w:name="_Toc51921822"/>
      <w:bookmarkStart w:id="33" w:name="_Toc51955846"/>
      <w:bookmarkStart w:id="34" w:name="_Toc51955797"/>
      <w:bookmarkStart w:id="35" w:name="_Toc51921821"/>
      <w:bookmarkStart w:id="36" w:name="_Toc51955688"/>
      <w:bookmarkStart w:id="37" w:name="_Toc51955735"/>
      <w:bookmarkStart w:id="38" w:name="_Toc51955733"/>
      <w:bookmarkStart w:id="39" w:name="_Toc51955853"/>
      <w:bookmarkStart w:id="40" w:name="_Toc51955801"/>
      <w:bookmarkStart w:id="41" w:name="_Toc51955854"/>
      <w:bookmarkStart w:id="42" w:name="_Toc51955805"/>
      <w:bookmarkStart w:id="43" w:name="_Toc51955741"/>
      <w:bookmarkStart w:id="44" w:name="_Toc51955692"/>
      <w:bookmarkStart w:id="45" w:name="_Toc51921829"/>
      <w:bookmarkStart w:id="46" w:name="_Toc51955804"/>
      <w:bookmarkStart w:id="47" w:name="_Toc51955740"/>
      <w:bookmarkStart w:id="48" w:name="_Toc51955691"/>
      <w:bookmarkStart w:id="49" w:name="_Toc51921828"/>
      <w:bookmarkStart w:id="50" w:name="_Toc51955684"/>
      <w:bookmarkStart w:id="51" w:name="_Toc51955739"/>
      <w:bookmarkStart w:id="52" w:name="_Toc51955690"/>
      <w:bookmarkStart w:id="53" w:name="_Toc51921827"/>
      <w:bookmarkStart w:id="54" w:name="_Toc51955851"/>
      <w:bookmarkStart w:id="55" w:name="_Toc51955802"/>
      <w:bookmarkStart w:id="56" w:name="_Toc51955738"/>
      <w:bookmarkStart w:id="57" w:name="_Toc51955689"/>
      <w:bookmarkStart w:id="58" w:name="_Toc51955852"/>
      <w:bookmarkStart w:id="59" w:name="_Toc51955850"/>
      <w:bookmarkStart w:id="60" w:name="_Toc51921826"/>
      <w:bookmarkEnd w:id="1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/>
        <w:t xml:space="preserve">Информация в отношении исполнения договора, </w:t>
      </w:r>
      <w:bookmarkStart w:id="61" w:name="_Hlk46492347"/>
      <w:r>
        <w:rPr/>
        <w:t xml:space="preserve">которая должна быть учтена при подготовке заявки </w:t>
      </w:r>
      <w:bookmarkEnd w:id="61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5"/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Cs/>
          <w:sz w:val="24"/>
          <w:szCs w:val="24"/>
        </w:rPr>
      </w:pPr>
      <w:bookmarkStart w:id="62" w:name="_Hlk48209615"/>
      <w:bookmarkEnd w:id="62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Подрядчик </w:t>
      </w:r>
      <w:r>
        <w:rPr>
          <w:iCs/>
          <w:sz w:val="24"/>
          <w:szCs w:val="24"/>
        </w:rPr>
        <w:t xml:space="preserve">предоставляет субподрядчику на время производства работ безвозмездно: 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Следующие виды ресурсов:</w:t>
      </w:r>
    </w:p>
    <w:p>
      <w:pPr>
        <w:pStyle w:val="ListParagraph"/>
        <w:widowControl w:val="false"/>
        <w:numPr>
          <w:ilvl w:val="1"/>
          <w:numId w:val="11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Электроэнергия;</w:t>
      </w:r>
    </w:p>
    <w:p>
      <w:pPr>
        <w:pStyle w:val="ListParagraph"/>
        <w:widowControl w:val="false"/>
        <w:numPr>
          <w:ilvl w:val="1"/>
          <w:numId w:val="11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rFonts w:eastAsia="Times New Roman"/>
          <w:iCs/>
        </w:rPr>
      </w:pPr>
      <w:r>
        <w:rPr>
          <w:rFonts w:eastAsia="Times New Roman"/>
          <w:iCs/>
        </w:rPr>
        <w:t>Вода.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Cs/>
        </w:rPr>
      </w:pPr>
      <w:r>
        <w:rPr>
          <w:rFonts w:eastAsia="Times New Roman"/>
          <w:iCs/>
        </w:rPr>
        <w:t>Материалы:</w:t>
      </w:r>
    </w:p>
    <w:p>
      <w:pPr>
        <w:pStyle w:val="ListParagraph"/>
        <w:widowControl w:val="false"/>
        <w:numPr>
          <w:ilvl w:val="1"/>
          <w:numId w:val="11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Cs/>
        </w:rPr>
      </w:pPr>
      <w:r>
        <w:rPr>
          <w:iCs/>
        </w:rPr>
        <w:t>В соответствии с ведомостью объемов работ (</w:t>
      </w:r>
      <w:hyperlink w:anchor="Приложение_№1">
        <w:r>
          <w:rPr>
            <w:rStyle w:val="Hyperlink"/>
            <w:iCs/>
          </w:rPr>
          <w:t>Приложение №1</w:t>
        </w:r>
      </w:hyperlink>
      <w:r>
        <w:rPr>
          <w:iCs/>
        </w:rPr>
        <w:t xml:space="preserve"> к настоящим Техническим требованиям).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120"/>
        <w:ind w:left="792" w:hanging="0"/>
        <w:contextualSpacing/>
        <w:jc w:val="both"/>
        <w:rPr>
          <w:iCs/>
        </w:rPr>
      </w:pPr>
      <w:r>
        <w:rPr>
          <w:iCs/>
        </w:rPr>
        <w:t>Материалы передаются подрядчику по накладным М-15 по письменной заявке и учитываются в сметном расчете как давальческие с нулевой стоимостью.</w:t>
      </w:r>
    </w:p>
    <w:p>
      <w:pPr>
        <w:pStyle w:val="ListParagraph"/>
        <w:widowControl w:val="false"/>
        <w:numPr>
          <w:ilvl w:val="0"/>
          <w:numId w:val="11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iCs/>
        </w:rPr>
        <w:t>Площади для складирования материалов.</w:t>
      </w:r>
    </w:p>
    <w:p>
      <w:pPr>
        <w:pStyle w:val="Normal"/>
        <w:rPr>
          <w:rStyle w:val="Style8"/>
          <w:b w:val="false"/>
          <w:iCs/>
          <w:sz w:val="2"/>
          <w:szCs w:val="24"/>
        </w:rPr>
      </w:pPr>
      <w:r>
        <w:rPr>
          <w:b w:val="false"/>
          <w:iCs/>
          <w:sz w:val="2"/>
          <w:szCs w:val="24"/>
        </w:rPr>
      </w:r>
      <w:bookmarkStart w:id="63" w:name="_Hlk482096151"/>
      <w:bookmarkStart w:id="64" w:name="_Hlk48209761"/>
      <w:bookmarkStart w:id="65" w:name="_Hlk482096151"/>
      <w:bookmarkStart w:id="66" w:name="_Hlk48209761"/>
      <w:bookmarkEnd w:id="65"/>
      <w:bookmarkEnd w:id="6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6"/>
          <w:szCs w:val="26"/>
        </w:rPr>
      </w:pPr>
      <w:r>
        <w:rPr>
          <w:b w:val="false"/>
          <w:bCs/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</w:rPr>
      </w:pPr>
      <w:bookmarkStart w:id="67" w:name="__RefHeading___Toc47667_2939175109"/>
      <w:bookmarkStart w:id="68" w:name="_Toc125123771"/>
      <w:bookmarkStart w:id="69" w:name="_Toc51921656"/>
      <w:bookmarkEnd w:id="67"/>
      <w:r>
        <w:rPr/>
        <w:t>Требования к продукции</w:t>
      </w:r>
      <w:bookmarkEnd w:id="68"/>
      <w:bookmarkEnd w:id="69"/>
    </w:p>
    <w:p>
      <w:pPr>
        <w:pStyle w:val="Heading4"/>
        <w:numPr>
          <w:ilvl w:val="1"/>
          <w:numId w:val="3"/>
        </w:numPr>
        <w:ind w:left="709" w:hanging="709"/>
        <w:rPr/>
      </w:pPr>
      <w:bookmarkStart w:id="70" w:name="__RefHeading___Toc47669_2939175109"/>
      <w:bookmarkStart w:id="71" w:name="_Toc125123772"/>
      <w:bookmarkEnd w:id="70"/>
      <w:r>
        <w:rPr/>
        <w:t>Требования к объемам и срокам выполнения работ</w:t>
      </w:r>
      <w:bookmarkEnd w:id="71"/>
    </w:p>
    <w:p>
      <w:pPr>
        <w:pStyle w:val="Heading3"/>
        <w:numPr>
          <w:ilvl w:val="2"/>
          <w:numId w:val="3"/>
        </w:numPr>
        <w:ind w:left="709" w:hanging="709"/>
        <w:rPr/>
      </w:pPr>
      <w:bookmarkStart w:id="72" w:name="__RefHeading___Toc47671_2939175109"/>
      <w:bookmarkStart w:id="73" w:name="_Toc125123773"/>
      <w:bookmarkStart w:id="74" w:name="_Toc51921657"/>
      <w:bookmarkEnd w:id="72"/>
      <w:r>
        <w:rPr/>
        <w:t>Требования к видам и объемам работ</w:t>
      </w:r>
      <w:bookmarkEnd w:id="73"/>
      <w:bookmarkEnd w:id="74"/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>
          <w:lang w:val="ru-RU"/>
        </w:rPr>
      </w:pPr>
      <w:bookmarkStart w:id="75" w:name="__RefHeading___Toc47673_2939175109"/>
      <w:bookmarkStart w:id="76" w:name="_Toc51921658"/>
      <w:bookmarkStart w:id="77" w:name="_Toc125123774"/>
      <w:bookmarkStart w:id="78" w:name="_Toc35351358"/>
      <w:bookmarkEnd w:id="75"/>
      <w:r>
        <w:rPr/>
        <w:t>Таблица</w:t>
      </w:r>
      <w:r>
        <w:rPr>
          <w:lang w:val="ru-RU"/>
        </w:rPr>
        <w:t> 2</w:t>
      </w:r>
      <w:r>
        <w:rPr/>
        <w:t xml:space="preserve">. </w:t>
      </w:r>
      <w:bookmarkEnd w:id="78"/>
      <w:r>
        <w:rPr>
          <w:lang w:val="ru-RU"/>
        </w:rPr>
        <w:t>Перечень и объем выполняемых работ</w:t>
      </w:r>
      <w:bookmarkEnd w:id="76"/>
      <w:bookmarkEnd w:id="77"/>
    </w:p>
    <w:tbl>
      <w:tblPr>
        <w:tblW w:w="9698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38"/>
        <w:gridCol w:w="4111"/>
        <w:gridCol w:w="2697"/>
        <w:gridCol w:w="2151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6"/>
                <w:szCs w:val="26"/>
                <w:shd w:fill="auto" w:val="clear"/>
              </w:rPr>
              <w:t>ОКПД2 43.29.12 Выполнение работ по монтажу металлоконструкций для нужд Волжского филиала</w:t>
            </w: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соответствии с ведомостью объемов работ (</w:t>
            </w:r>
            <w:hyperlink w:anchor="Приложение_№1">
              <w:r>
                <w:rPr>
                  <w:rStyle w:val="Hyperlink"/>
                  <w:iCs/>
                  <w:sz w:val="24"/>
                  <w:szCs w:val="24"/>
                </w:rPr>
                <w:t>Приложение №1</w:t>
              </w:r>
            </w:hyperlink>
            <w:r>
              <w:rPr>
                <w:iCs/>
                <w:sz w:val="24"/>
                <w:szCs w:val="24"/>
              </w:rPr>
              <w:t xml:space="preserve"> к настоящим Техническим требованиям)</w:t>
            </w:r>
          </w:p>
        </w:tc>
      </w:tr>
    </w:tbl>
    <w:p>
      <w:pPr>
        <w:pStyle w:val="Style28"/>
        <w:numPr>
          <w:ilvl w:val="0"/>
          <w:numId w:val="0"/>
        </w:numPr>
        <w:ind w:left="0" w:hanging="0"/>
        <w:jc w:val="left"/>
        <w:outlineLvl w:val="0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ind w:left="709" w:hanging="709"/>
        <w:rPr/>
      </w:pPr>
      <w:bookmarkStart w:id="79" w:name="__RefHeading___Toc47675_2939175109"/>
      <w:bookmarkStart w:id="80" w:name="_Toc125123775"/>
      <w:bookmarkStart w:id="81" w:name="_Toc51921659"/>
      <w:bookmarkEnd w:id="79"/>
      <w:r>
        <w:rPr/>
        <w:t>Требования к срокам выполнения работ</w:t>
      </w:r>
      <w:bookmarkStart w:id="82" w:name="_Toc51921660"/>
      <w:bookmarkEnd w:id="80"/>
      <w:bookmarkEnd w:id="81"/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/>
      </w:pPr>
      <w:bookmarkStart w:id="83" w:name="__RefHeading___Toc47677_2939175109"/>
      <w:bookmarkStart w:id="84" w:name="_Toc125123776"/>
      <w:bookmarkEnd w:id="83"/>
      <w:r>
        <w:rPr/>
        <w:t>Таблица 3. Требования по срокам выполнения работ</w:t>
      </w:r>
      <w:bookmarkEnd w:id="82"/>
      <w:bookmarkEnd w:id="84"/>
    </w:p>
    <w:p>
      <w:pPr>
        <w:pStyle w:val="Normal"/>
        <w:widowControl w:val="false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W w:w="980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57"/>
        <w:gridCol w:w="3416"/>
        <w:gridCol w:w="2227"/>
        <w:gridCol w:w="2904"/>
      </w:tblGrid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работ/ этапа работ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началу срока выполнения работ/ этапа работ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iCs/>
                <w:sz w:val="24"/>
                <w:szCs w:val="24"/>
                <w:shd w:fill="auto" w:val="clear"/>
              </w:rPr>
              <w:t>ОКПД2 43.29.12 Выполнение работ по монтажу металлоконструкций для нужд Волжского филиала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iCs/>
                <w:sz w:val="24"/>
                <w:szCs w:val="24"/>
              </w:rPr>
              <w:t>Не позднее 20.09.2026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iCs/>
        </w:rPr>
      </w:pPr>
      <w:bookmarkStart w:id="85" w:name="__RefHeading___Toc47679_2939175109"/>
      <w:bookmarkStart w:id="86" w:name="_Toc125123777"/>
      <w:bookmarkEnd w:id="85"/>
      <w:r>
        <w:rPr/>
        <w:t>Требования к качеству работ</w:t>
      </w:r>
      <w:bookmarkEnd w:id="86"/>
    </w:p>
    <w:p>
      <w:pPr>
        <w:pStyle w:val="Style28"/>
        <w:numPr>
          <w:ilvl w:val="0"/>
          <w:numId w:val="0"/>
        </w:numPr>
        <w:spacing w:before="60" w:after="120"/>
        <w:ind w:left="0" w:hanging="0"/>
        <w:contextualSpacing/>
        <w:jc w:val="left"/>
        <w:outlineLvl w:val="0"/>
        <w:rPr>
          <w:rStyle w:val="Style8"/>
          <w:iCs/>
        </w:rPr>
      </w:pPr>
      <w:bookmarkStart w:id="87" w:name="__RefHeading___Toc47681_2939175109"/>
      <w:bookmarkStart w:id="88" w:name="_Toc51921661"/>
      <w:bookmarkStart w:id="89" w:name="_Toc125123778"/>
      <w:bookmarkEnd w:id="87"/>
      <w:r>
        <w:rPr/>
        <w:t>Таблица 4. Требования к качеству работ</w:t>
      </w:r>
      <w:bookmarkEnd w:id="88"/>
      <w:bookmarkEnd w:id="89"/>
      <w:r>
        <w:rPr/>
        <w:t xml:space="preserve">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Наименование работ:</w:t>
      </w:r>
      <w:r>
        <w:rPr>
          <w:sz w:val="24"/>
          <w:szCs w:val="24"/>
          <w:shd w:fill="auto" w:val="clear"/>
        </w:rPr>
        <w:t xml:space="preserve"> </w:t>
      </w:r>
      <w:r>
        <w:rPr>
          <w:rFonts w:eastAsia="Calibri"/>
          <w:iCs/>
          <w:sz w:val="24"/>
          <w:szCs w:val="24"/>
          <w:shd w:fill="auto" w:val="clear"/>
        </w:rPr>
        <w:t>ОКПД2 43.29.12 Выполнение работ по монтажу металлоконструкций для нужд Волжского филиала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7"/>
        <w:tblW w:w="14796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6"/>
        <w:gridCol w:w="1944"/>
        <w:gridCol w:w="11926"/>
      </w:tblGrid>
      <w:tr>
        <w:trPr/>
        <w:tc>
          <w:tcPr>
            <w:tcW w:w="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9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34" w:hRule="atLeast"/>
        </w:trPr>
        <w:tc>
          <w:tcPr>
            <w:tcW w:w="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9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19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926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227" w:hanging="0"/>
              <w:contextualSpacing/>
              <w:jc w:val="left"/>
              <w:rPr>
                <w:rStyle w:val="Style8"/>
                <w:b w:val="false"/>
                <w:iCs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 выполнении работ субподрядчик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-«Правила организации технического обслуживания и ремонта объектов электроэнергетики», зарегистрирован 26.03.2019; приказ Минэнерго России от 25.10.2017 №1013;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-Правила по охране труда при эксплуатации электроустановок», приказ Минтруда России от 15.12.2020 №903н;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-Приказ №461 от 26.11.2020 г. 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Правила по охране труда при работе с инструментом и приспособлениями», утвержденные Приказом Минтруда России от 27.11.2020 №835н;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Правила по охране труда при размещении, монтаже, техническом обслуживании и ремонте технологического оборудования», утв. Приказом Минтруда России от 27.11.2020 №833н;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-«Правила по охране труда при погрузочно-разгрузочных работах и размещении грузов», утвержденные приказом Министерства труда и социальной защиты Российской Федерации от 28.10.2020 № 753н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-«Инструкции по обращению с отходами производства и потребления Волжской ГЭС»;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 противопожарного режима в Российской Федерации (утв. Постановлением РФ от 16 сентября 2020 г. №1479)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РД 153-34.0-03.301-00 (ВППБ 01-02-95) «Правила пожарной безопасности для энергетических предприятий». приспособлениями» Зарегистрировано в Минюсте России 11 декабря 2020 г. N 61411 Приказ от 27 ноября 2020 г. N 835н;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0" w:hanging="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- Правила по охране труда при строительстве, реконструкции и ремонте, утвержденные Приказом Минтруда России от 11 декабря 2020 года N 883н.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</w:tr>
      <w:tr>
        <w:trPr>
          <w:trHeight w:val="2041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субподрядчика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Допуск персонала субподрядчика для выполнения работ осуществляться в соответствии с </w:t>
            </w:r>
            <w:bookmarkStart w:id="90" w:name="_Hlk125115769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Приказом ПАО «РусГидро от 28.04.2023 №300 Об утверждении Регламента процесса «Допуск персонала подрядных организаций на объекты ПАО «РусГидро» </w:t>
            </w:r>
            <w:bookmarkEnd w:id="90"/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Приложение №3 к ТТ)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» с обязательным оформлением необходимых нарядов-допусков;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Подготовка рабочих мест и допуск к выполнению работ выполняет персонал Заказчика.</w:t>
            </w:r>
          </w:p>
        </w:tc>
      </w:tr>
      <w:tr>
        <w:trPr>
          <w:trHeight w:val="1698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Организация работ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Разработка субподрядчиком проектов производства работ (ППР) и технологических карт (ТК), в том числе на работы с применением подъемных сооружений (ПС), планов производства работ на высоте или технологических карт на производство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Организация работ по согласованию ППР и ТК входит в обязанности субподрядчика.</w:t>
            </w:r>
          </w:p>
        </w:tc>
      </w:tr>
      <w:tr>
        <w:trPr>
          <w:trHeight w:val="728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используемым материалам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lang w:val="x-none" w:eastAsia="x-none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Качество применяемых материалов подтверждается сертификатами качества.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581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</w:tr>
      <w:tr>
        <w:trPr>
          <w:trHeight w:val="3679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Подрядчиком осуществляет входной контроль поступающих материалов и запасных частей, включающий в себя проверку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наличия маркировки, сохранности упаковки, наличия и сохранности защитных и окрасочных покрытий и т.п.;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60"/>
              <w:ind w:left="170" w:hanging="170"/>
              <w:contextualSpacing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hd w:fill="auto" w:val="clear"/>
                <w:lang w:val="ru-RU" w:eastAsia="ru-RU" w:bidi="ar-SA"/>
              </w:rPr>
              <w:t>комплектности поставляемых материалов.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both"/>
              <w:rPr>
                <w:rStyle w:val="Style8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персоналу субподрядчика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bookmarkStart w:id="91" w:name="__RefHeading___Toc47683_2939175109"/>
            <w:bookmarkStart w:id="92" w:name="_Toc125123779"/>
            <w:bookmarkEnd w:id="91"/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  <w:t>Квалификация персонала субподрядчика, привлекаемого к выполнению работ</w:t>
            </w:r>
            <w:bookmarkEnd w:id="92"/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Привлекаемые к выполнению работ сотрудники должны: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быть старше 18 лет;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иметь группы по электробезопасности не ниже 2гр. в  соответствии с требованиями Правил по охране труда при эксплуатации электроустановок утв. Приказом Минтруда и соц. защиты РФ от 15 декабря 2020 года N 903н и прошедшие проверку знаний требований ПТЭЭСС.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 начала проведения работ в рамках исполнения договора после его заключения субподрядчик предоставляет: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сведения о лицах из указанного перечня, подтверждающие принадлежность данных лиц к субподрядчику (копии трудового договора или копии трудовых книжек или копии приказов о приёме на работу);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копию страниц паспорта;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справку об отсутствии судимости;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заполненную анкету 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согласие на обработку персональных и иных охраняемых законом данных;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удостоверений о проверки знаний Правил работы в электроустановках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протоколов проверки знаний Правил работы в электроустановках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документов подтверждающих обучение персонала по: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Общим вопросам охраны труда;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Оказание первой помощи пострадавшим;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-Безопасным методам и приемам выполнения работ при воздействии вредных и (или) опасных производственных факторов;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Использованию (применению) СИЗ;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свидетельств о прохождении обучения по повышению квалификации или дополнительных навыков (при необходимости);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копий  удостоверений на производство специальных видов работ (огневых, грузоподъемных, работ с электро - и пневмоинструментом) (возможно совмещение специальностей)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копии документов подтверждающих прохождения медицинского осмотра и психиатрического и наркологического освидетельствования Заверенными руководителем организации.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- копию приказа создания аттестационной комиссии (при наличии), копии протоколов аттестации на всех членов комиссии по областям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А.1, В.2 обязательно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, Б.9.3, Б.9.4 по мере необходимости для выполнения работ, на ответственных за безопасное производство работ с применением ПС;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формы удостоверений при работах в электроустановках должны соответствовать требованиям правил по ОТ при эксплуатации электроустановок;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при отсутствии в организации ПДЭК предоставить копии протоколов проверки знаний в аттестационной комиссии РТН;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Субподрядчик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должен при производстве работ соблюдать: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   по    охране    труда     при   эксплуатации    электроустановок, утверждённых приказом Министерство труда и социальной защиты РФ от 15.12.2020г. № 903н, зарегистрированных в Минюсте России 30.12.2020 N 61957;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по охране труда при строительстве, реконструкции и ремонте, утверждённых приказом Минтруда России от 11.12.2020 N 883н, зарегистрированных в Минюсте России 24.12.2020 N 61787;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 СНиП 12-03-2001«Безопасность труда в строительстве» Часть 1.Общие требования, утвержденных Постановлением Госстроя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РФ от 23.07.2001 N 80, зарегистрированных в Минюсте РФ 09.08.2001 N 2862;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СНиП 12-04-2002  «Безопасность  труда  в  строительстве» Часть 2.  Строительное Производство, утвержденных Постановлением Госстроя России от 17.09.2002 N 123, зарегистрированных в Минюсте России 18.10.2002 N 3880;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СП 12-136-2002  «Решения по охране труда и промышленной    безопасности в ПНР и ПОС», утвержденных  Постановлением Госстроя РФ от 17.09.2002 N 122;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по охране труда при погрузочно-разгрузочных работах и размещении грузов»,  утверждённых приказом Минтруда России от 28.10.2020 г. № 753н, зарегистрированных в Минюсте России 15.12.2020 N 61471;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ГОСТ 12.3.009-76 «ССБТ. Работы погрузочно-разгрузочные. Общие требования       безопасности», утвержден Постановлением Госстандарта СССР от 23.03.1976 N 670;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Постановление Правительства РФ от 10.09.2020 N 1391 "Об утверждении Правил охраны поверхностных водных объектов";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ФЗ № 7 от 10.01.2002 г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Правил противопожарного режима в Российской Федерации, утверждённых постановлением Правительства РФ от 16.09.2020 N 1479;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- Приказ Минстроя России от 27.07.2017 N 1033/пр "Об утверждении СП 68.13330.2017 "СНиП 3.01.04-87 Приемка в эксплуатацию законченных строительством объектов. Основные положения";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contextualSpacing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 Правил по охране труда при работе с инструментом и приспособлениями, утверждённых Приказом Минтруда России от 27.11.2020 г. № 835н, зарегистрированных в Минюсте России 11.12.2020 N 61411.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</w:tr>
      <w:tr>
        <w:trPr>
          <w:trHeight w:val="100" w:hRule="atLeast"/>
        </w:trPr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Предъявление Объекта комиссии Заказчика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Оформление отчетной и исполнительной документации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, указанных в п. 2.3.1 настоящей таблицы.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Подрядчик обязан одновременно с передачей актов приемки выполненных работ по форме КС-2 передать заказчику Отчет о выполненных работах, включая: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0" w:hanging="283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акты на скрытые работы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0" w:hanging="283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исполнительные чертежи, схемы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0" w:hanging="283"/>
              <w:contextualSpacing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общий и специальный журналы учета выполнения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 и паспорта на применённые материалы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отчет об использовании давальческих материалов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38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Субподрядчика</w:t>
            </w:r>
          </w:p>
        </w:tc>
      </w:tr>
      <w:tr>
        <w:trPr/>
        <w:tc>
          <w:tcPr>
            <w:tcW w:w="92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</w:t>
            </w:r>
          </w:p>
        </w:tc>
        <w:tc>
          <w:tcPr>
            <w:tcW w:w="119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Гарантийный срок на результат работ должен составлять 36 месяцев с даты подписания Акта о приемке выполненных работ КС-2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ind w:left="0" w:hanging="0"/>
        <w:jc w:val="center"/>
        <w:rPr>
          <w:rStyle w:val="Style8"/>
          <w:bCs/>
          <w:sz w:val="26"/>
          <w:szCs w:val="26"/>
        </w:rPr>
      </w:pPr>
      <w:bookmarkStart w:id="93" w:name="__RefHeading___Toc47693_2939175109"/>
      <w:bookmarkStart w:id="94" w:name="_Toc54618152"/>
      <w:bookmarkStart w:id="95" w:name="_Toc54279845"/>
      <w:bookmarkStart w:id="96" w:name="_Toc125123784"/>
      <w:bookmarkEnd w:id="93"/>
      <w:r>
        <w:rPr/>
        <w:t xml:space="preserve">Требования к документации по ценообразованию на этапе </w:t>
      </w:r>
      <w:r>
        <w:rPr>
          <w:lang w:val="ru-RU"/>
        </w:rPr>
        <w:t>исполнения</w:t>
      </w:r>
      <w:r>
        <w:rPr/>
        <w:t xml:space="preserve"> договора</w:t>
      </w:r>
      <w:bookmarkEnd w:id="94"/>
      <w:bookmarkEnd w:id="95"/>
      <w:bookmarkEnd w:id="96"/>
    </w:p>
    <w:p>
      <w:pPr>
        <w:pStyle w:val="Normal"/>
        <w:keepNext w:val="true"/>
        <w:numPr>
          <w:ilvl w:val="0"/>
          <w:numId w:val="0"/>
        </w:numPr>
        <w:spacing w:before="0" w:after="120"/>
        <w:ind w:left="1134" w:hanging="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val="x-none" w:eastAsia="x-none"/>
        </w:rPr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iCs/>
          <w:sz w:val="24"/>
          <w:szCs w:val="24"/>
          <w:highlight w:val="yellow"/>
          <w:lang w:eastAsia="x-none"/>
        </w:rPr>
      </w:pPr>
      <w:r>
        <w:rPr>
          <w:iCs/>
          <w:sz w:val="24"/>
          <w:szCs w:val="24"/>
          <w:lang w:eastAsia="x-none"/>
        </w:rPr>
        <w:t xml:space="preserve">3.1. По результатам настоящей закупки заключается договор с предельной ценой. </w:t>
      </w:r>
    </w:p>
    <w:p>
      <w:pPr>
        <w:pStyle w:val="BodyText"/>
        <w:numPr>
          <w:ilvl w:val="0"/>
          <w:numId w:val="0"/>
        </w:numPr>
        <w:spacing w:before="0" w:after="12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color w:val="000000"/>
          <w:sz w:val="24"/>
          <w:szCs w:val="24"/>
          <w:shd w:fill="auto" w:val="clear"/>
          <w:lang w:eastAsia="x-none"/>
        </w:rPr>
        <w:t>3.2. В рамках исполнения договора взаиморасчеты будут осуществляться по смете, выданной Заказчиком в производство работ.</w:t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highlight w:val="none"/>
          <w:shd w:fill="auto" w:val="clear"/>
        </w:rPr>
      </w:pPr>
      <w:r>
        <w:rPr>
          <w:iCs/>
          <w:sz w:val="24"/>
          <w:szCs w:val="24"/>
          <w:shd w:fill="auto" w:val="clear"/>
          <w:lang w:eastAsia="x-none"/>
        </w:rPr>
        <w:t>3.3. Генподрядный коэффициент составляет 15% и начисляется в каждой локальной смете к итогу.</w:t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3.4. В случае если стоимость по смете, выданной в производство работ, будет превышать стоимость, указанную в Коммерческом предложении, в ходе исполнения договора Субподрядчику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Normal"/>
        <w:numPr>
          <w:ilvl w:val="0"/>
          <w:numId w:val="0"/>
        </w:numPr>
        <w:spacing w:before="0" w:after="12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  <w:t>3.5. В случае если стоимость по смете, выданной в производство работ,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  <w:r>
        <w:br w:type="page"/>
      </w:r>
    </w:p>
    <w:p>
      <w:pPr>
        <w:pStyle w:val="Heading1"/>
        <w:keepNext w:val="false"/>
        <w:numPr>
          <w:ilvl w:val="0"/>
          <w:numId w:val="3"/>
        </w:numPr>
        <w:ind w:left="0" w:hanging="0"/>
        <w:jc w:val="center"/>
        <w:rPr>
          <w:rStyle w:val="Style8"/>
          <w:bCs/>
          <w:sz w:val="26"/>
          <w:szCs w:val="26"/>
        </w:rPr>
      </w:pPr>
      <w:bookmarkStart w:id="97" w:name="__RefHeading___Toc47695_2939175109"/>
      <w:bookmarkStart w:id="98" w:name="_Toc125123785"/>
      <w:bookmarkStart w:id="99" w:name="_Hlk673152081"/>
      <w:bookmarkStart w:id="100" w:name="_Toc54459814"/>
      <w:bookmarkStart w:id="101" w:name="_Toc54457704"/>
      <w:bookmarkStart w:id="102" w:name="_Toc54279846"/>
      <w:bookmarkStart w:id="103" w:name="_Toc54279725"/>
      <w:bookmarkEnd w:id="97"/>
      <w:bookmarkEnd w:id="99"/>
      <w:bookmarkEnd w:id="100"/>
      <w:bookmarkEnd w:id="101"/>
      <w:bookmarkEnd w:id="102"/>
      <w:bookmarkEnd w:id="103"/>
      <w:r>
        <w:rPr/>
        <w:t>Приложения</w:t>
      </w:r>
      <w:bookmarkEnd w:id="9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/>
          <w:i/>
          <w:i/>
          <w:iCs/>
          <w:sz w:val="24"/>
          <w:szCs w:val="24"/>
          <w:u w:val="single"/>
        </w:rPr>
      </w:pPr>
      <w:r>
        <w:rPr>
          <w:b/>
          <w:i/>
          <w:iCs/>
          <w:sz w:val="24"/>
          <w:szCs w:val="24"/>
          <w:u w:val="singl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Приложение № 1: </w:t>
      </w:r>
      <w:bookmarkStart w:id="104" w:name="_Hlk87545766"/>
      <w:r>
        <w:rPr>
          <w:bCs/>
          <w:iCs/>
          <w:sz w:val="24"/>
          <w:szCs w:val="24"/>
        </w:rPr>
        <w:t>Ведомость объёмов работ</w:t>
      </w:r>
      <w:bookmarkEnd w:id="10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  <w:lang w:val="x-none"/>
        </w:rPr>
      </w:pPr>
      <w:hyperlink w:anchor="Приложение_№2">
        <w:r>
          <w:rPr>
            <w:rStyle w:val="Hyperlink"/>
            <w:bCs/>
            <w:iCs/>
            <w:sz w:val="24"/>
            <w:szCs w:val="24"/>
          </w:rPr>
          <w:t>Приложение № 2</w:t>
        </w:r>
      </w:hyperlink>
      <w:r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  <w:lang w:val="x-none"/>
        </w:rPr>
        <w:t>Требования к оформлению и составлению документации по ценообразованию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Приложение № 3: Приказ ПАО «РусГидро» от 28.04.2023 №300 Об утверждении Регламента «Допуск персонала подрядных организаций на объекты ПАО «РусГидро».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Приложение № 4 Предварительные технические решения.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6"/>
          <w:szCs w:val="26"/>
          <w:lang w:val="x-none"/>
        </w:rPr>
      </w:pPr>
      <w:r>
        <w:rPr>
          <w:b w:val="false"/>
          <w:iCs/>
          <w:sz w:val="26"/>
          <w:szCs w:val="26"/>
          <w:lang w:val="x-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iCs/>
          <w:sz w:val="26"/>
          <w:szCs w:val="26"/>
        </w:rPr>
      </w:pPr>
      <w:r>
        <w:rPr>
          <w:b w:val="false"/>
          <w:iCs/>
          <w:sz w:val="26"/>
          <w:szCs w:val="26"/>
        </w:rPr>
      </w:r>
    </w:p>
    <w:p>
      <w:pPr>
        <w:pStyle w:val="ListParagraph"/>
        <w:keepNext w:val="true"/>
        <w:shd w:val="clear" w:color="auto" w:fill="FFFFFF"/>
        <w:tabs>
          <w:tab w:val="clear" w:pos="708"/>
          <w:tab w:val="left" w:pos="1134" w:leader="none"/>
          <w:tab w:val="left" w:pos="1418" w:leader="none"/>
        </w:tabs>
        <w:spacing w:before="0" w:after="0"/>
        <w:contextualSpacing w:val="false"/>
        <w:jc w:val="both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br w:type="page"/>
      </w:r>
    </w:p>
    <w:p>
      <w:pPr>
        <w:pStyle w:val="Normal"/>
        <w:jc w:val="right"/>
        <w:rPr/>
      </w:pPr>
      <w:bookmarkStart w:id="105" w:name="Приложение_№1"/>
      <w:r>
        <w:rPr>
          <w:bCs/>
          <w:sz w:val="24"/>
          <w:szCs w:val="24"/>
        </w:rPr>
        <w:t>Приложение № 1</w:t>
      </w:r>
      <w:bookmarkEnd w:id="105"/>
      <w:r>
        <w:rPr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Ведомость объёмов работ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«Выполнение работ по монтажу металлоконструкций»</w:t>
      </w:r>
      <w:r>
        <w:rPr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09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10"/>
        <w:gridCol w:w="5241"/>
        <w:gridCol w:w="1125"/>
        <w:gridCol w:w="1188"/>
        <w:gridCol w:w="1645"/>
      </w:tblGrid>
      <w:tr>
        <w:trPr>
          <w:trHeight w:val="72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>
                <w:sz w:val="24"/>
                <w:szCs w:val="24"/>
              </w:rPr>
              <w:t>Монтаж базы опоры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шт/т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62/22,6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Опора шарнирная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Давальческий материал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Устройство подливки толщиной 50 мм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м2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Раствор цементно-песчаный М200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Монтаж стоек (стальных)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Монтаж траверс (стальных)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/>
            </w:pPr>
            <w:r>
              <w:rPr/>
              <w:t>Комплект металлоконструкций опор защитного укрытия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Давальческий материал</w:t>
            </w:r>
          </w:p>
        </w:tc>
      </w:tr>
      <w:tr>
        <w:trPr>
          <w:trHeight w:val="3240" w:hRule="atLeast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Условия выполнения работ: 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Производство работ по устройству фундаментов стоек защитного укрытия осуществляется: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вблизи объектов, находящихся под напряжением;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 охранной зоне действующей воздушной линии электропередачи;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внутри объектов капитального строительства, внутренняя проводка в которых не обесточена,    что приведёт к ограничению действий рабочих;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разветвленной сети транспортных и инженерных коммуникаций;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стесненных условий для складирования материалов;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действующего технологического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движения технологического транспорта.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Normal"/>
        <w:jc w:val="right"/>
        <w:rPr>
          <w:rFonts w:eastAsia="Calibri"/>
          <w:b/>
          <w:sz w:val="36"/>
          <w:szCs w:val="36"/>
        </w:rPr>
      </w:pPr>
      <w:bookmarkStart w:id="106" w:name="Приложение_№2"/>
      <w:r>
        <w:rPr/>
        <w:t>Приложение №2</w:t>
      </w:r>
      <w:bookmarkEnd w:id="106"/>
    </w:p>
    <w:p>
      <w:pPr>
        <w:pStyle w:val="Heading1"/>
        <w:tabs>
          <w:tab w:val="clear" w:pos="0"/>
        </w:tabs>
        <w:ind w:left="0" w:hanging="0"/>
        <w:jc w:val="center"/>
        <w:rPr>
          <w:sz w:val="36"/>
          <w:szCs w:val="36"/>
        </w:rPr>
      </w:pPr>
      <w:bookmarkStart w:id="107" w:name="__RefHeading___Toc47697_2939175109"/>
      <w:bookmarkStart w:id="108" w:name="_Toc54451385"/>
      <w:bookmarkStart w:id="109" w:name="_Hlk125115837"/>
      <w:bookmarkStart w:id="110" w:name="_Toc125123786"/>
      <w:bookmarkEnd w:id="107"/>
      <w:r>
        <w:rPr/>
        <w:t>Требования к оформлению и составлению документации по ценообразованию</w:t>
      </w:r>
      <w:bookmarkEnd w:id="108"/>
      <w:bookmarkEnd w:id="109"/>
      <w:bookmarkEnd w:id="110"/>
    </w:p>
    <w:p>
      <w:pPr>
        <w:pStyle w:val="Normal"/>
        <w:keepNext w:val="true"/>
        <w:keepLines/>
        <w:spacing w:before="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Раздел 1. Требования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к оформлению и составлению сметной документации на выполнение </w:t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работ при ремонте, реконструкции и техническом перевооружении.</w:t>
      </w:r>
    </w:p>
    <w:p>
      <w:pPr>
        <w:pStyle w:val="Normal"/>
        <w:tabs>
          <w:tab w:val="clear" w:pos="708"/>
          <w:tab w:val="left" w:pos="284" w:leader="none"/>
          <w:tab w:val="left" w:pos="993" w:leader="none"/>
          <w:tab w:val="left" w:pos="1134" w:leader="none"/>
        </w:tabs>
        <w:spacing w:lineRule="auto" w:line="240" w:before="0" w:after="0"/>
        <w:ind w:left="0" w:right="0" w:firstLine="709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r>
        <w:rPr>
          <w:rFonts w:cs="Times New Roman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cs="Times New Roman"/>
          <w:b/>
          <w:u w:val="single"/>
        </w:rPr>
        <w:t>не допускается</w:t>
      </w:r>
      <w:r>
        <w:rPr>
          <w:rFonts w:cs="Times New Roman"/>
        </w:rPr>
        <w:t>, кроме случаев, прямо указанных в настоящих требованиях.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Версия программного комплекса «Гранд-Смета» (далее–ПК «Гранд-смета») должна быть не ниже 2024.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421/пр., в редакции приказов Минстроя России от 07.07.2022 года № 557/пр, от 30.01.2024 года № 55/пр (далее – Методика 421).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При составлении сметной документации необходимо использовать актуальную сметно-нормативную базу.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9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r>
        <w:rPr>
          <w:rFonts w:cs="Times New Roman"/>
        </w:rPr>
        <w:t>Определение сметной стоимости работ выполняется</w:t>
      </w:r>
      <w:r>
        <w:rPr>
          <w:rFonts w:cs="Times New Roman"/>
          <w:b/>
        </w:rPr>
        <w:t xml:space="preserve"> ресурсно-индексным методом </w:t>
      </w:r>
      <w:r>
        <w:rPr>
          <w:rFonts w:cs="Times New Roman"/>
        </w:rPr>
        <w:t xml:space="preserve">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</w:t>
      </w:r>
      <w:r>
        <w:rPr>
          <w:rFonts w:cs="Times New Roman"/>
          <w:b/>
        </w:rPr>
        <w:t>текущем уровне цен</w:t>
      </w:r>
      <w:r>
        <w:rPr>
          <w:rFonts w:cs="Times New Roman"/>
        </w:rPr>
        <w:t xml:space="preserve">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При определении сметной стоимости ресурсно-индексным методами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Для ресурсно-индексного метода: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изменения сметной стоимости оборудования – применяются к сметной стоимости оборудования;</w:t>
      </w:r>
    </w:p>
    <w:p>
      <w:pPr>
        <w:pStyle w:val="Normal"/>
        <w:numPr>
          <w:ilvl w:val="0"/>
          <w:numId w:val="14"/>
        </w:numPr>
        <w:tabs>
          <w:tab w:val="clear" w:pos="708"/>
          <w:tab w:val="left" w:pos="284" w:leader="none"/>
          <w:tab w:val="left" w:pos="993" w:leader="none"/>
        </w:tabs>
        <w:spacing w:lineRule="auto" w:line="240" w:before="0" w:after="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В сметных расчетах на этап работ допускается использовать индексы прогнозной инфляции Минэкономразвития России (ИПЦ базовый, по строке - Показатели инфляции / в среднем за год).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 xml:space="preserve">В случае </w:t>
      </w:r>
      <w:r>
        <w:rPr>
          <w:rFonts w:cs="Times New Roman"/>
          <w:i/>
        </w:rPr>
        <w:t>отсутствия</w:t>
      </w:r>
      <w:r>
        <w:rPr>
          <w:rFonts w:cs="Times New Roman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/>
      </w:pPr>
      <w:bookmarkStart w:id="111" w:name="_Hlk86254526"/>
      <w:r>
        <w:rPr>
          <w:rFonts w:cs="Times New Roman"/>
        </w:rPr>
        <w:t xml:space="preserve">При </w:t>
      </w:r>
      <w:r>
        <w:rPr>
          <w:rFonts w:cs="Times New Roman"/>
          <w:i/>
        </w:rPr>
        <w:t>отсутствии</w:t>
      </w:r>
      <w:r>
        <w:rPr>
          <w:rFonts w:cs="Times New Roman"/>
        </w:rPr>
        <w:t xml:space="preserve"> информации о сметных ценах в ФГИС ЦС и ФССЦ по материальным ресурсам и оборудованию, их сметная цена формируется </w:t>
      </w:r>
      <w:bookmarkStart w:id="112" w:name="_Hlk86254576"/>
      <w:r>
        <w:rPr>
          <w:rFonts w:cs="Times New Roman"/>
        </w:rPr>
        <w:t xml:space="preserve">методом коньюнктурного анализа </w:t>
      </w:r>
      <w:bookmarkEnd w:id="112"/>
      <w:r>
        <w:rPr>
          <w:rFonts w:cs="Times New Roman"/>
        </w:rPr>
        <w:t xml:space="preserve">в соответствии с Методикой 421. </w:t>
      </w:r>
      <w:bookmarkEnd w:id="111"/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284" w:leader="none"/>
          <w:tab w:val="left" w:pos="705" w:leader="none"/>
          <w:tab w:val="left" w:pos="993" w:leader="none"/>
          <w:tab w:val="left" w:pos="1272" w:leader="none"/>
        </w:tabs>
        <w:spacing w:lineRule="auto" w:line="240" w:before="0" w:after="0"/>
        <w:ind w:left="705" w:right="0" w:hanging="279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Транспортные затраты определяются следующими методами:</w:t>
      </w:r>
    </w:p>
    <w:p>
      <w:pPr>
        <w:pStyle w:val="Normal"/>
        <w:numPr>
          <w:ilvl w:val="0"/>
        </w:numPr>
        <w:tabs>
          <w:tab w:val="clear" w:pos="708"/>
          <w:tab w:val="left" w:pos="1134" w:leader="none"/>
        </w:tabs>
        <w:spacing w:lineRule="auto" w:line="240" w:before="40" w:after="40"/>
        <w:ind w:left="0" w:right="0" w:hanging="0"/>
        <w:jc w:val="left"/>
        <w:rPr/>
      </w:pPr>
      <w:r>
        <w:rPr>
          <w:rFonts w:cs="Times New Roman"/>
        </w:rPr>
        <w:t xml:space="preserve">14.1. </w:t>
      </w:r>
      <w:r>
        <w:rPr>
          <w:rFonts w:cs="Times New Roman"/>
          <w:b/>
        </w:rPr>
        <w:t>по доставке материальных ресурсов</w:t>
      </w:r>
      <w:r>
        <w:rPr>
          <w:rFonts w:cs="Times New Roman"/>
        </w:rPr>
        <w:t xml:space="preserve"> 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методом коньюнктурного анализа в соответствии с Методикой 421;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1134" w:leader="none"/>
        </w:tabs>
        <w:spacing w:lineRule="auto" w:line="240" w:before="40" w:after="40"/>
        <w:ind w:left="0" w:right="0" w:firstLine="709"/>
        <w:jc w:val="left"/>
        <w:rPr/>
      </w:pPr>
      <w:r>
        <w:rPr>
          <w:rFonts w:cs="Times New Roman"/>
        </w:rPr>
        <w:t>14.2.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</w:rPr>
        <w:t>по доставке оборудования</w:t>
      </w:r>
      <w:r>
        <w:rPr>
          <w:rFonts w:cs="Times New Roman"/>
        </w:rPr>
        <w:t>: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методом коньюнктурного анализа в соответствии с Методикой 421;</w:t>
      </w:r>
    </w:p>
    <w:p>
      <w:pPr>
        <w:pStyle w:val="Normal"/>
        <w:widowControl w:val="false"/>
        <w:numPr>
          <w:ilvl w:val="0"/>
          <w:numId w:val="15"/>
        </w:numPr>
        <w:tabs>
          <w:tab w:val="clear" w:pos="708"/>
          <w:tab w:val="left" w:pos="284" w:leader="none"/>
          <w:tab w:val="left" w:pos="1134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размере до 3-х процентов от отпускной цены оборудования (при невозможности определить затраты указанными выше способами), по решению заказчика.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0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Если транспортировка осуществляется заказчиком самостоятельно (самовывоз), данный показатель не учитывается.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2% - для материальных ресурсов (кроме металлоконструкций);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0,75% - для металлоконструкций;</w:t>
      </w:r>
    </w:p>
    <w:p>
      <w:pPr>
        <w:pStyle w:val="Normal"/>
        <w:widowControl w:val="false"/>
        <w:numPr>
          <w:ilvl w:val="0"/>
          <w:numId w:val="16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1,2% - для оборудования.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  <w:color w:val="000000"/>
        </w:rPr>
        <w:t xml:space="preserve">         </w:t>
      </w:r>
      <w:r>
        <w:rPr>
          <w:rFonts w:cs="Times New Roman"/>
          <w:color w:val="000000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  <w:color w:val="000000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>
        <w:rPr>
          <w:rFonts w:cs="Times New Roman"/>
          <w:color w:val="000000"/>
        </w:rPr>
        <w:t xml:space="preserve">применении коэффициентов результирующее значение коэффициента определяется, согласно пп. 51, 52 Методики 421.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Резерв средств на непредвиденные работы и затраты определять в ТТ и начислять в смете в процентах в размере, указанном в утвержденных ТТ. Порядок расчета за непредвиденные работы и затраты оговаривать в договоре подряда.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</w:rPr>
        <w:t xml:space="preserve"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</w:t>
      </w:r>
      <w:r>
        <w:rPr>
          <w:rFonts w:cs="Times New Roman"/>
          <w:lang w:val="en-US"/>
        </w:rPr>
        <w:t>VII</w:t>
      </w:r>
      <w:r>
        <w:rPr>
          <w:rFonts w:cs="Times New Roman"/>
        </w:rPr>
        <w:t xml:space="preserve"> Методики 421: 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>
      <w:pPr>
        <w:pStyle w:val="Normal"/>
        <w:widowControl w:val="false"/>
        <w:numPr>
          <w:ilvl w:val="0"/>
          <w:numId w:val="17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Пусконаладочные работы «под нагрузкой» для объектов производственного и непроизводственного назначения, связанных с получением дохода от реализации товаров (услуг) не относятся на сметную стоимость строительства и в сметной документации не учитываются. 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0" w:right="0" w:firstLine="709"/>
        <w:jc w:val="left"/>
        <w:rPr/>
      </w:pPr>
      <w:r>
        <w:rPr>
          <w:rFonts w:cs="Times New Roman"/>
        </w:rPr>
        <w:t xml:space="preserve">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 Данные работы оформляются отдельными локальными сметами в соответствии </w:t>
      </w:r>
      <w:r>
        <w:rPr>
          <w:rFonts w:cs="Times New Roman"/>
          <w:color w:val="000000"/>
        </w:rPr>
        <w:t>с Приложением №3 к настоящим требованиям и включаются в ССРСС.</w:t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851" w:leader="none"/>
        </w:tabs>
        <w:spacing w:lineRule="auto" w:line="240" w:before="40" w:after="40"/>
        <w:ind w:left="0" w:right="0" w:firstLine="709"/>
        <w:jc w:val="left"/>
        <w:rPr/>
      </w:pPr>
      <w:r>
        <w:rPr>
          <w:rFonts w:cs="Times New Roman"/>
        </w:rPr>
        <w:t xml:space="preserve">Данные работы оформляются отдельными локальными сметами в соответствии </w:t>
      </w:r>
      <w:r>
        <w:rPr>
          <w:rFonts w:cs="Times New Roman"/>
          <w:color w:val="000000"/>
        </w:rPr>
        <w:t xml:space="preserve">с Приложением </w:t>
      </w:r>
      <w:r>
        <w:rPr>
          <w:rFonts w:cs="Times New Roman"/>
        </w:rPr>
        <w:t>№ 2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  <w:color w:val="000000"/>
        </w:rPr>
        <w:t xml:space="preserve"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 и включаются в ССР.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 xml:space="preserve">При необходимости учета командировочных расходов в сметной документации составляется расчет (прил.№3 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перевооружению). 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>
      <w:pPr>
        <w:pStyle w:val="Normal"/>
        <w:numPr>
          <w:ilvl w:val="0"/>
        </w:numPr>
        <w:tabs>
          <w:tab w:val="clear" w:pos="708"/>
          <w:tab w:val="left" w:pos="567" w:leader="none"/>
          <w:tab w:val="left" w:pos="993" w:leader="none"/>
        </w:tabs>
        <w:spacing w:lineRule="auto" w:line="240" w:before="40" w:after="40"/>
        <w:ind w:left="0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Лимиты командировочных расходов при производстве СМР и ПНР по статьям затрат следующие: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суточные – 700 руб./сутки;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проживание – 500 руб./сутки;</w:t>
      </w:r>
    </w:p>
    <w:p>
      <w:pPr>
        <w:pStyle w:val="Normal"/>
        <w:widowControl w:val="false"/>
        <w:numPr>
          <w:ilvl w:val="0"/>
          <w:numId w:val="18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  <w:color w:val="000000"/>
        </w:rPr>
      </w:pPr>
      <w:r>
        <w:rPr>
          <w:rFonts w:cs="Times New Roman"/>
          <w:color w:val="000000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Normal"/>
        <w:widowControl w:val="false"/>
        <w:numPr>
          <w:ilvl w:val="0"/>
        </w:numPr>
        <w:tabs>
          <w:tab w:val="clear" w:pos="708"/>
          <w:tab w:val="left" w:pos="284" w:leader="none"/>
          <w:tab w:val="left" w:pos="709" w:leader="none"/>
          <w:tab w:val="left" w:pos="851" w:leader="none"/>
        </w:tabs>
        <w:spacing w:lineRule="auto" w:line="240" w:before="40" w:after="40"/>
        <w:ind w:left="1211" w:right="0" w:hanging="0"/>
        <w:jc w:val="left"/>
        <w:rPr>
          <w:rFonts w:ascii="Times New Roman" w:hAnsi="Times New Roman" w:cs="Times New Roman"/>
          <w:b/>
          <w:i/>
          <w:i/>
          <w:color w:val="000000"/>
        </w:rPr>
      </w:pPr>
      <w:r>
        <w:rPr>
          <w:rFonts w:cs="Times New Roman"/>
          <w:b/>
          <w:i/>
          <w:color w:val="000000"/>
        </w:rPr>
        <w:t>Данные лимиты могут быть пересмотрены на этапе согласования технических требований.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bookmarkStart w:id="113" w:name="_Ref19086149"/>
      <w:bookmarkEnd w:id="113"/>
      <w:r>
        <w:rPr>
          <w:rFonts w:cs="Times New Roman"/>
        </w:rPr>
        <w:t xml:space="preserve">В локальных сметных расчетах построчные и итоговые суммы </w:t>
      </w:r>
      <w:r>
        <w:rPr>
          <w:rFonts w:cs="Times New Roman"/>
          <w:b/>
          <w:u w:val="single"/>
        </w:rPr>
        <w:t>округлять: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/>
      </w:pPr>
      <w:bookmarkStart w:id="114" w:name="_Ref19086149_Копия_1"/>
      <w:bookmarkEnd w:id="114"/>
      <w:r>
        <w:rPr>
          <w:rFonts w:cs="Times New Roman"/>
        </w:rPr>
        <w:t xml:space="preserve">при ресурсно-индексном и ресурсным методах, а также в сметных расчетах на отдельные виды затрат - </w:t>
      </w:r>
      <w:r>
        <w:rPr>
          <w:rFonts w:cs="Times New Roman"/>
          <w:b/>
        </w:rPr>
        <w:t>в рублях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до целых единиц</w:t>
      </w:r>
      <w:r>
        <w:rPr>
          <w:rFonts w:cs="Times New Roman"/>
        </w:rPr>
        <w:t>;</w:t>
      </w:r>
    </w:p>
    <w:p>
      <w:pPr>
        <w:pStyle w:val="Normal"/>
        <w:widowControl w:val="false"/>
        <w:numPr>
          <w:ilvl w:val="0"/>
          <w:numId w:val="19"/>
        </w:numPr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lineRule="auto" w:line="240" w:before="40" w:after="40"/>
        <w:ind w:left="1287" w:right="0" w:firstLine="709"/>
        <w:jc w:val="left"/>
        <w:rPr/>
      </w:pPr>
      <w:r>
        <w:rPr>
          <w:rFonts w:cs="Times New Roman"/>
        </w:rPr>
        <w:t xml:space="preserve">в объектных сметных расчетах (сметах), сводном сметном расчете стоимости строительства и сводке затрат - </w:t>
      </w:r>
      <w:r>
        <w:rPr>
          <w:rFonts w:cs="Times New Roman"/>
          <w:b/>
        </w:rPr>
        <w:t>рублях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до двух знаков</w:t>
      </w:r>
      <w:r>
        <w:rPr>
          <w:rFonts w:cs="Times New Roman"/>
        </w:rPr>
        <w:t xml:space="preserve"> после запятой. Величину НДС не указывать.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</w:rPr>
        <w:t xml:space="preserve">Выходные формы сметных расчетов должны соответствовать Образцам по приложению 2 </w:t>
      </w:r>
      <w:r>
        <w:rPr>
          <w:rFonts w:cs="Times New Roman"/>
          <w:color w:val="000000"/>
        </w:rPr>
        <w:t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</w:t>
      </w:r>
      <w:r>
        <w:rPr>
          <w:rFonts w:cs="Times New Roman"/>
        </w:rPr>
        <w:t xml:space="preserve">. 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567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случае предоставления Заказчиком услуг, указанных в Технических требованиях, договоре:</w:t>
      </w:r>
    </w:p>
    <w:p>
      <w:pPr>
        <w:pStyle w:val="Normal"/>
        <w:numPr>
          <w:ilvl w:val="0"/>
        </w:numPr>
        <w:tabs>
          <w:tab w:val="clear" w:pos="708"/>
          <w:tab w:val="left" w:pos="993" w:leader="none"/>
        </w:tabs>
        <w:spacing w:lineRule="auto" w:line="240" w:before="40" w:after="40"/>
        <w:ind w:left="1272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Normal"/>
        <w:numPr>
          <w:ilvl w:val="1"/>
          <w:numId w:val="13"/>
        </w:numPr>
        <w:tabs>
          <w:tab w:val="clear" w:pos="708"/>
          <w:tab w:val="left" w:pos="993" w:leader="none"/>
          <w:tab w:val="left" w:pos="1844" w:leader="none"/>
        </w:tabs>
        <w:spacing w:lineRule="auto" w:line="240" w:before="40" w:after="40"/>
        <w:ind w:left="1844" w:right="0" w:hanging="567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По предоставляемой электроэнергии (в том числе, в составе стоимости машино-часа):</w:t>
      </w:r>
    </w:p>
    <w:p>
      <w:pPr>
        <w:pStyle w:val="Normal"/>
        <w:numPr>
          <w:ilvl w:val="0"/>
          <w:numId w:val="20"/>
        </w:numPr>
        <w:spacing w:lineRule="auto" w:line="240" w:before="40" w:after="4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Из норм и расценок исключать стоимость электроэнергии.</w:t>
      </w:r>
    </w:p>
    <w:p>
      <w:pPr>
        <w:pStyle w:val="Normal"/>
        <w:numPr>
          <w:ilvl w:val="1"/>
          <w:numId w:val="13"/>
        </w:numPr>
        <w:tabs>
          <w:tab w:val="clear" w:pos="708"/>
          <w:tab w:val="left" w:pos="993" w:leader="none"/>
          <w:tab w:val="left" w:pos="1844" w:leader="none"/>
        </w:tabs>
        <w:spacing w:lineRule="auto" w:line="240" w:before="40" w:after="40"/>
        <w:ind w:left="1844" w:right="0" w:hanging="567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По предоставляемой воде:</w:t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993" w:leader="none"/>
        </w:tabs>
        <w:spacing w:lineRule="auto" w:line="240" w:before="40" w:after="40"/>
        <w:contextualSpacing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Из норм и расценок исключать стоимость воды.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426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426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/>
      </w:pPr>
      <w:r>
        <w:rPr>
          <w:rFonts w:cs="Times New Roman"/>
        </w:rPr>
        <w:t xml:space="preserve"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</w:t>
      </w:r>
      <w:r>
        <w:rPr>
          <w:rFonts w:cs="Times New Roman"/>
          <w:color w:val="000000"/>
        </w:rPr>
        <w:t>Требованиям к 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по образцу</w:t>
      </w:r>
      <w:r>
        <w:rPr>
          <w:rFonts w:cs="Times New Roman"/>
        </w:rPr>
        <w:t>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426" w:leader="none"/>
          <w:tab w:val="left" w:pos="705" w:leader="none"/>
          <w:tab w:val="left" w:pos="993" w:leader="none"/>
          <w:tab w:val="left" w:pos="1272" w:leader="none"/>
        </w:tabs>
        <w:spacing w:lineRule="auto" w:line="240" w:before="40" w:after="40"/>
        <w:ind w:left="705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Сметная документация должна быть представлена в двух вариантах: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на бумажном носителе (количество указано в конкурсной документации).  Образец ЛСР в соответствии с приложением № 2 к Требованиям к оформлению и составлению сметной документации на работы по программе реконструкции и техническому перевооружению;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/>
      </w:pPr>
      <w:r>
        <w:rPr>
          <w:rFonts w:cs="Times New Roman"/>
        </w:rPr>
        <w:t>на электронном носителе (в форматах «</w:t>
      </w:r>
      <w:r>
        <w:rPr>
          <w:rFonts w:cs="Times New Roman"/>
          <w:lang w:val="en-US"/>
        </w:rPr>
        <w:t>xml</w:t>
      </w:r>
      <w:r>
        <w:rPr>
          <w:rFonts w:cs="Times New Roman"/>
        </w:rPr>
        <w:t>»,</w:t>
      </w:r>
      <w:r>
        <w:rPr>
          <w:rFonts w:cs="Times New Roman"/>
          <w:color w:val="2E74B5"/>
        </w:rPr>
        <w:t xml:space="preserve"> </w:t>
      </w:r>
      <w:r>
        <w:rPr>
          <w:rFonts w:cs="Times New Roman"/>
        </w:rPr>
        <w:t>ПК «Гранд-Смета», «Excel», «</w:t>
      </w:r>
      <w:r>
        <w:rPr>
          <w:rFonts w:cs="Times New Roman"/>
          <w:lang w:val="en-US"/>
        </w:rPr>
        <w:t>pdf</w:t>
      </w:r>
      <w:r>
        <w:rPr>
          <w:rFonts w:cs="Times New Roman"/>
        </w:rPr>
        <w:t>»), полностью соответствующему бумажному варианту. Сметная документация в формате «Exce</w:t>
      </w:r>
      <w:r>
        <w:rPr>
          <w:rFonts w:cs="Times New Roman"/>
          <w:lang w:val="en-US"/>
        </w:rPr>
        <w:t>l</w:t>
      </w:r>
      <w:r>
        <w:rPr>
          <w:rFonts w:cs="Times New Roman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>
      <w:pPr>
        <w:pStyle w:val="Normal"/>
        <w:numPr>
          <w:ilvl w:val="0"/>
          <w:numId w:val="22"/>
        </w:numPr>
        <w:tabs>
          <w:tab w:val="clear" w:pos="708"/>
          <w:tab w:val="left" w:pos="426" w:leader="none"/>
          <w:tab w:val="left" w:pos="993" w:leader="none"/>
        </w:tabs>
        <w:spacing w:lineRule="auto" w:line="240" w:before="40" w:after="40"/>
        <w:ind w:left="1211" w:right="0" w:firstLine="709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 xml:space="preserve">в формате ПК «Гранд-смета» выходная форма для печати указана ниже: </w:t>
      </w:r>
    </w:p>
    <w:p>
      <w:pPr>
        <w:pStyle w:val="Normal"/>
        <w:numPr>
          <w:ilvl w:val="0"/>
        </w:numPr>
        <w:shd w:val="clear" w:fill="FFFFFF"/>
        <w:tabs>
          <w:tab w:val="clear" w:pos="708"/>
          <w:tab w:val="left" w:pos="900" w:leader="none"/>
        </w:tabs>
        <w:spacing w:lineRule="auto" w:line="240" w:before="0" w:after="0"/>
        <w:ind w:left="0" w:right="0" w:firstLine="360"/>
        <w:jc w:val="left"/>
        <w:rPr>
          <w:rFonts w:ascii="Times New Roman" w:hAnsi="Times New Roman" w:cs="Times New Roman"/>
          <w:lang w:val="ru-RU" w:eastAsia="ru-RU"/>
        </w:rPr>
      </w:pPr>
      <w:r>
        <w:rPr>
          <w:rFonts w:cs="Times New Roman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0" w:leader="none"/>
        </w:tabs>
        <w:spacing w:lineRule="auto" w:line="240" w:before="0" w:after="0"/>
        <w:ind w:left="0" w:right="0" w:firstLine="360"/>
        <w:jc w:val="left"/>
        <w:rPr>
          <w:rFonts w:ascii="Times New Roman" w:hAnsi="Times New Roman" w:cs="Times New Roman"/>
          <w:lang w:val="ru-RU" w:eastAsia="ru-RU"/>
        </w:rPr>
      </w:pPr>
      <w:r>
        <w:rPr>
          <w:rFonts w:cs="Times New Roman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0" w:leader="none"/>
        </w:tabs>
        <w:spacing w:lineRule="auto" w:line="240" w:before="0" w:after="0"/>
        <w:ind w:left="0" w:right="0" w:firstLine="360"/>
        <w:jc w:val="left"/>
        <w:rPr>
          <w:lang w:val="ru-RU" w:eastAsia="ru-RU"/>
        </w:rPr>
      </w:pPr>
      <w:r>
        <w:rPr/>
        <w:drawing>
          <wp:inline distT="0" distB="0" distL="0" distR="0">
            <wp:extent cx="5980430" cy="3364230"/>
            <wp:effectExtent l="0" t="0" r="0" b="0"/>
            <wp:docPr id="3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"/>
        <w:spacing w:lineRule="auto" w:line="240" w:before="0" w:after="0"/>
        <w:ind w:left="5812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Приложение №1 </w:t>
      </w:r>
    </w:p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color w:val="000000"/>
          <w:sz w:val="20"/>
        </w:rPr>
        <w:t xml:space="preserve">к Требованиям к оформлению и составлению сметной документации </w:t>
      </w:r>
      <w:r>
        <w:rPr>
          <w:rFonts w:cs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cs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u w:val="single"/>
        </w:rPr>
      </w:pPr>
      <w:r>
        <w:rPr>
          <w:rFonts w:cs="Times New Roman"/>
          <w:color w:val="000000"/>
          <w:sz w:val="20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u w:val="single"/>
        </w:rPr>
      </w:pPr>
      <w:r>
        <w:rPr>
          <w:rFonts w:cs="Times New Roman"/>
          <w:b/>
          <w:color w:val="000000"/>
          <w:sz w:val="20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Требования к оформлению и составлению сводного сметного расчета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>к договорам на реконструкцию, техническое перевооружение и дополнительным соглашениям к указанным договорам.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При наличии двух и более сметных расчетов составлять ССРСС в текущем уровне цен по форме Приложения </w:t>
      </w:r>
      <w:r>
        <w:rPr>
          <w:rFonts w:cs="Times New Roman"/>
          <w:color w:val="000000"/>
        </w:rPr>
        <w:t>№ 1.1 к Требованиям к оформлению и составлению сводного сметного расчёта к договорам  на реконструкцию, техническое перевооружение и дополнительным соглашениям к указанным договорам по образцу.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>
        <w:rPr>
          <w:rFonts w:cs="Times New Roman"/>
          <w:color w:val="000000"/>
        </w:rPr>
        <w:t>ЛСР (</w:t>
      </w:r>
      <w:r>
        <w:rPr>
          <w:rFonts w:cs="Times New Roman"/>
          <w:color w:val="000000"/>
          <w:szCs w:val="20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>
        <w:rPr>
          <w:rFonts w:cs="Times New Roman"/>
          <w:color w:val="000000"/>
        </w:rPr>
        <w:t xml:space="preserve">№ 1.2 к Требованиям к 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>
        <w:rPr>
          <w:rFonts w:cs="Times New Roman"/>
          <w:color w:val="000000"/>
        </w:rPr>
        <w:t xml:space="preserve">к Требованиям </w:t>
      </w:r>
      <w:r>
        <w:rPr>
          <w:rFonts w:cs="Times New Roman"/>
          <w:color w:val="000000"/>
          <w:szCs w:val="20"/>
        </w:rPr>
        <w:t xml:space="preserve">к оформлению и составлению </w:t>
      </w:r>
      <w:r>
        <w:rPr>
          <w:rFonts w:cs="Times New Roman"/>
          <w:color w:val="000000"/>
        </w:rPr>
        <w:t xml:space="preserve">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>
          <w:rFonts w:ascii="Times New Roman" w:hAnsi="Times New Roman" w:cs="Times New Roman"/>
          <w:color w:val="000000"/>
          <w:szCs w:val="20"/>
        </w:rPr>
      </w:pPr>
      <w:r>
        <w:rPr>
          <w:rFonts w:cs="Times New Roman"/>
          <w:color w:val="000000"/>
          <w:szCs w:val="20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276" w:right="707" w:gutter="0" w:header="709" w:top="766" w:footer="0" w:bottom="426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23"/>
        </w:numPr>
        <w:tabs>
          <w:tab w:val="clear" w:pos="708"/>
          <w:tab w:val="left" w:pos="993" w:leader="none"/>
        </w:tabs>
        <w:spacing w:lineRule="auto" w:line="240" w:before="0" w:after="0"/>
        <w:ind w:left="0" w:right="0" w:firstLine="709"/>
        <w:jc w:val="left"/>
        <w:rPr/>
      </w:pPr>
      <w:r>
        <w:rPr>
          <w:rFonts w:cs="Times New Roman"/>
          <w:color w:val="000000"/>
          <w:szCs w:val="20"/>
        </w:rPr>
        <w:t xml:space="preserve">В ССРСС, построчные и итоговые суммы </w:t>
      </w:r>
      <w:r>
        <w:rPr>
          <w:rFonts w:cs="Times New Roman"/>
          <w:color w:val="000000"/>
        </w:rPr>
        <w:t xml:space="preserve">указывать </w:t>
      </w:r>
      <w:r>
        <w:rPr>
          <w:rFonts w:cs="Times New Roman"/>
          <w:color w:val="000000"/>
          <w:szCs w:val="20"/>
        </w:rPr>
        <w:t>в рублях с округлением до двух знаков после запятой. Величину НДС не указывать.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7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Приложение № 1.1</w:t>
      </w:r>
    </w:p>
    <w:p>
      <w:pPr>
        <w:pStyle w:val="Normal"/>
        <w:widowControl w:val="false"/>
        <w:spacing w:lineRule="auto" w:line="240" w:before="0" w:after="0"/>
        <w:ind w:left="57" w:right="0" w:firstLine="720"/>
        <w:jc w:val="left"/>
        <w:rPr/>
      </w:pPr>
      <w:r>
        <w:rPr>
          <w:rFonts w:cs="Times New Roman"/>
          <w:b/>
        </w:rPr>
        <w:t xml:space="preserve">ОБРАЗЕЦ </w:t>
      </w:r>
      <w:r>
        <w:rPr>
          <w:rFonts w:cs="Times New Roman"/>
          <w:sz w:val="20"/>
          <w:szCs w:val="20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Приложение №___                                                                                    к договору от_______№_____ </w:t>
      </w:r>
      <w:r>
        <w:rPr>
          <w:rFonts w:cs="Times New Roman"/>
          <w:sz w:val="20"/>
          <w:szCs w:val="20"/>
          <w:lang w:val="en-US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64"/>
        <w:gridCol w:w="7450"/>
      </w:tblGrid>
      <w:tr>
        <w:trPr>
          <w:trHeight w:val="1158" w:hRule="atLeast"/>
        </w:trPr>
        <w:tc>
          <w:tcPr>
            <w:tcW w:w="3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83" w:right="0" w:hanging="0"/>
              <w:jc w:val="left"/>
              <w:rPr/>
            </w:pPr>
            <w:r>
              <w:rPr>
                <w:rFonts w:cs="Times New Roman"/>
                <w:b/>
                <w:sz w:val="20"/>
                <w:szCs w:val="20"/>
              </w:rPr>
              <w:t>СОГЛАСОВАНО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909" w:hanging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______________(Подрядчик 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_______________(ФИО)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Заказчик:______________________</w:t>
            </w:r>
          </w:p>
        </w:tc>
        <w:tc>
          <w:tcPr>
            <w:tcW w:w="74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-3855" w:firstLine="72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УТВЕРЖДАЮ: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909" w:hanging="0"/>
              <w:jc w:val="left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cs="Times New Roman"/>
                <w:b/>
                <w:szCs w:val="20"/>
              </w:rPr>
              <w:t xml:space="preserve">                             </w:t>
            </w:r>
            <w:r>
              <w:rPr>
                <w:rFonts w:cs="Times New Roman"/>
                <w:szCs w:val="20"/>
              </w:rPr>
              <w:t>_____________(Заказчик )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51" w:right="0" w:firstLine="720"/>
              <w:jc w:val="left"/>
              <w:rPr/>
            </w:pPr>
            <w:r>
              <w:rPr>
                <w:rFonts w:cs="Times New Roman"/>
                <w:szCs w:val="20"/>
              </w:rPr>
              <w:t xml:space="preserve">                  </w:t>
            </w:r>
            <w:r>
              <w:rPr>
                <w:rFonts w:cs="Times New Roman"/>
                <w:szCs w:val="20"/>
              </w:rPr>
              <w:t>______________(</w:t>
            </w:r>
            <w:r>
              <w:rPr>
                <w:rFonts w:cs="Times New Roman"/>
                <w:sz w:val="20"/>
                <w:szCs w:val="20"/>
              </w:rPr>
              <w:t>ФИО)</w:t>
            </w:r>
          </w:p>
        </w:tc>
      </w:tr>
      <w:tr>
        <w:trPr/>
        <w:tc>
          <w:tcPr>
            <w:tcW w:w="34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745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Утвержден: __ ______________202__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(ссылка на документ об утверждении)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 ССРСС-________</w:t>
            </w:r>
          </w:p>
        </w:tc>
      </w:tr>
      <w:tr>
        <w:trPr>
          <w:trHeight w:val="23" w:hRule="atLeast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982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3"/>
        <w:gridCol w:w="994"/>
        <w:gridCol w:w="282"/>
        <w:gridCol w:w="1271"/>
        <w:gridCol w:w="363"/>
        <w:gridCol w:w="1343"/>
        <w:gridCol w:w="425"/>
        <w:gridCol w:w="1137"/>
        <w:gridCol w:w="1558"/>
        <w:gridCol w:w="1431"/>
        <w:gridCol w:w="1543"/>
      </w:tblGrid>
      <w:tr>
        <w:trPr>
          <w:trHeight w:val="212" w:hRule="atLeast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Nп/п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019" w:hRule="atLeast"/>
        </w:trPr>
        <w:tc>
          <w:tcPr>
            <w:tcW w:w="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5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91" w:right="0" w:hanging="6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</w:tr>
      <w:tr>
        <w:trPr>
          <w:trHeight w:val="273" w:hRule="atLeast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27" w:hRule="atLeast"/>
        </w:trPr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2091" w:leader="none"/>
              </w:tabs>
              <w:spacing w:lineRule="auto" w:line="240" w:before="0" w:after="0"/>
              <w:ind w:left="170" w:right="0" w:hanging="425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>
              <w:rPr>
                <w:rFonts w:cs="Times New Roman"/>
                <w:sz w:val="18"/>
                <w:szCs w:val="18"/>
              </w:rPr>
              <w:t>Руководитель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0"/>
              <w:ind w:left="170" w:right="0" w:hanging="14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907" w:right="0" w:firstLine="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Начальник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отдела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19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[подпись (инициалы, фамилия)]</w:t>
            </w:r>
          </w:p>
        </w:tc>
      </w:tr>
      <w:tr>
        <w:trPr/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284" w:right="0" w:firstLine="28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Заказчик</w:t>
            </w:r>
          </w:p>
        </w:tc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397" w:right="0" w:hanging="0"/>
        <w:jc w:val="left"/>
        <w:rPr/>
      </w:pPr>
      <w:r>
        <w:rPr>
          <w:rFonts w:cs="Times New Roman"/>
          <w:b/>
        </w:rPr>
        <w:t>ОБРАЗЕЦ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8646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8646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8646" w:right="0" w:hanging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8646" w:right="0" w:hanging="0"/>
        <w:jc w:val="left"/>
        <w:rPr/>
      </w:pP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 xml:space="preserve">Приложение №1.2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6804" w:leader="none"/>
        </w:tabs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</w:t>
      </w:r>
      <w:r>
        <w:rPr>
          <w:rFonts w:cs="Times New Roman"/>
          <w:sz w:val="20"/>
          <w:szCs w:val="20"/>
        </w:rPr>
        <w:t>Приложение №___</w:t>
      </w:r>
    </w:p>
    <w:p>
      <w:pPr>
        <w:pStyle w:val="Normal"/>
        <w:widowControl w:val="false"/>
        <w:tabs>
          <w:tab w:val="clear" w:pos="708"/>
          <w:tab w:val="left" w:pos="6946" w:leader="none"/>
        </w:tabs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</w:t>
      </w:r>
      <w:r>
        <w:rPr>
          <w:rFonts w:cs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/>
      </w:pPr>
      <w:r>
        <w:rPr>
          <w:rFonts w:eastAsia="Calibri" w:cs="Calibri"/>
        </w:rPr>
        <w:t xml:space="preserve">                                                                                                                             </w:t>
      </w:r>
      <w:r>
        <w:rPr/>
        <w:t xml:space="preserve">к договору от________№_____ </w:t>
      </w:r>
    </w:p>
    <w:tbl>
      <w:tblPr>
        <w:tblW w:w="109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23"/>
        <w:gridCol w:w="9691"/>
      </w:tblGrid>
      <w:tr>
        <w:trPr/>
        <w:tc>
          <w:tcPr>
            <w:tcW w:w="12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  </w:t>
            </w:r>
            <w:r>
              <w:rPr>
                <w:rFonts w:cs="Times New Roman"/>
                <w:sz w:val="20"/>
                <w:szCs w:val="20"/>
              </w:rPr>
              <w:t>Заказчик</w:t>
            </w:r>
          </w:p>
        </w:tc>
        <w:tc>
          <w:tcPr>
            <w:tcW w:w="969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22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69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организации)</w:t>
            </w:r>
          </w:p>
        </w:tc>
      </w:tr>
      <w:tr>
        <w:trPr/>
        <w:tc>
          <w:tcPr>
            <w:tcW w:w="1091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Утвержден __ 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15"/>
        <w:gridCol w:w="2664"/>
        <w:gridCol w:w="3098"/>
      </w:tblGrid>
      <w:tr>
        <w:trPr/>
        <w:tc>
          <w:tcPr>
            <w:tcW w:w="52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30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руб.</w:t>
            </w:r>
          </w:p>
        </w:tc>
      </w:tr>
      <w:tr>
        <w:trPr/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(ссылка на документ об утверждении)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97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977"/>
      </w:tblGrid>
      <w:tr>
        <w:trPr/>
        <w:tc>
          <w:tcPr>
            <w:tcW w:w="10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СВОДНЫЙ СМЕТНЫЙ РАСЧЕТ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 ССРСС-________</w:t>
            </w:r>
          </w:p>
        </w:tc>
      </w:tr>
      <w:tr>
        <w:trPr/>
        <w:tc>
          <w:tcPr>
            <w:tcW w:w="1097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097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стройки)</w:t>
            </w:r>
          </w:p>
        </w:tc>
      </w:tr>
      <w:tr>
        <w:trPr/>
        <w:tc>
          <w:tcPr>
            <w:tcW w:w="109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706" w:type="dxa"/>
        <w:jc w:val="left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7"/>
        <w:gridCol w:w="990"/>
        <w:gridCol w:w="293"/>
        <w:gridCol w:w="1636"/>
        <w:gridCol w:w="56"/>
        <w:gridCol w:w="1700"/>
        <w:gridCol w:w="15"/>
        <w:gridCol w:w="1263"/>
        <w:gridCol w:w="1428"/>
        <w:gridCol w:w="1139"/>
        <w:gridCol w:w="1757"/>
      </w:tblGrid>
      <w:tr>
        <w:trPr>
          <w:trHeight w:val="311" w:hRule="atLeast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Nп/п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Сметная стоимость, руб.</w:t>
            </w:r>
          </w:p>
        </w:tc>
      </w:tr>
      <w:tr>
        <w:trPr>
          <w:trHeight w:val="1294" w:hRule="atLeast"/>
        </w:trPr>
        <w:tc>
          <w:tcPr>
            <w:tcW w:w="4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91" w:right="0" w:hanging="6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8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13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</w:tr>
      <w:tr>
        <w:trPr>
          <w:trHeight w:val="144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Сметы основного договора</w:t>
            </w:r>
          </w:p>
        </w:tc>
      </w:tr>
      <w:tr>
        <w:trPr>
          <w:trHeight w:val="287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10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0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Итого по главам №№: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i/>
                <w:sz w:val="18"/>
                <w:szCs w:val="18"/>
                <w:u w:val="single"/>
              </w:rPr>
              <w:t>Справочно</w:t>
            </w:r>
            <w:r>
              <w:rPr>
                <w:rFonts w:cs="Times New Roman"/>
                <w:i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321" w:hRule="atLeast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Сумма изменения</w:t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091" w:leader="none"/>
              </w:tabs>
              <w:spacing w:lineRule="auto" w:line="240" w:before="0" w:after="0"/>
              <w:ind w:left="425" w:right="0" w:hanging="425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>
              <w:rPr>
                <w:rFonts w:cs="Times New Roman"/>
                <w:sz w:val="20"/>
                <w:szCs w:val="20"/>
              </w:rPr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ind w:left="425" w:right="0" w:hanging="425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       </w:t>
            </w:r>
            <w:r>
              <w:rPr>
                <w:rFonts w:cs="Times New Roman"/>
                <w:sz w:val="20"/>
                <w:szCs w:val="20"/>
              </w:rPr>
              <w:t>проектной организации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14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 инженер проекта</w:t>
            </w:r>
          </w:p>
        </w:tc>
        <w:tc>
          <w:tcPr>
            <w:tcW w:w="7358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334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358" w:type="dxa"/>
            <w:gridSpan w:val="7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</w:t>
            </w:r>
          </w:p>
        </w:tc>
        <w:tc>
          <w:tcPr>
            <w:tcW w:w="169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1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отдела</w:t>
            </w:r>
          </w:p>
        </w:tc>
        <w:tc>
          <w:tcPr>
            <w:tcW w:w="5587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19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715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587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[подпись (инициалы, фамилия)]</w:t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141" w:right="0" w:hanging="141"/>
              <w:jc w:val="left"/>
              <w:rPr/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Заказчик</w:t>
            </w:r>
          </w:p>
        </w:tc>
        <w:tc>
          <w:tcPr>
            <w:tcW w:w="8994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1710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994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[должность, подпись (инициалы, фамилия)]</w:t>
            </w:r>
          </w:p>
        </w:tc>
      </w:tr>
    </w:tbl>
    <w:p>
      <w:pPr>
        <w:sectPr>
          <w:headerReference w:type="default" r:id="rId12"/>
          <w:headerReference w:type="first" r:id="rId13"/>
          <w:footerReference w:type="default" r:id="rId14"/>
          <w:type w:val="nextPage"/>
          <w:pgSz w:w="11906" w:h="16838"/>
          <w:pgMar w:left="426" w:right="567" w:gutter="0" w:header="0" w:top="57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ind w:left="426" w:right="0" w:hanging="426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</w:rPr>
        <w:t xml:space="preserve">Приложение №1.3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</w:t>
      </w:r>
      <w:r>
        <w:rPr>
          <w:rFonts w:cs="Times New Roman"/>
          <w:sz w:val="20"/>
          <w:szCs w:val="20"/>
        </w:rPr>
        <w:t xml:space="preserve">к договору от_______№_____ 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Сопоставительная ведомость изменения сметной стоимости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tbl>
      <w:tblPr>
        <w:tblW w:w="10206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"/>
        <w:gridCol w:w="850"/>
        <w:gridCol w:w="851"/>
        <w:gridCol w:w="1276"/>
        <w:gridCol w:w="1276"/>
        <w:gridCol w:w="1701"/>
        <w:gridCol w:w="1714"/>
        <w:gridCol w:w="2112"/>
      </w:tblGrid>
      <w:tr>
        <w:trPr>
          <w:trHeight w:val="433" w:hRule="atLeast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 </w:t>
            </w:r>
            <w:r>
              <w:rPr>
                <w:rFonts w:cs="Times New Roman"/>
                <w:sz w:val="18"/>
                <w:szCs w:val="18"/>
              </w:rPr>
              <w:t>п/п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 изменений сметной стоимости</w:t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 </w:t>
            </w:r>
            <w:r>
              <w:rPr>
                <w:rFonts w:cs="Times New Roman"/>
                <w:sz w:val="18"/>
                <w:szCs w:val="18"/>
              </w:rPr>
              <w:t>позиции сметного расчета (сметы) в ССР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подлежащая включению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подлежащая исключению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</w:r>
          </w:p>
        </w:tc>
        <w:tc>
          <w:tcPr>
            <w:tcW w:w="2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52" w:before="0" w:after="160"/>
              <w:jc w:val="left"/>
              <w:rPr>
                <w:rFonts w:ascii="Times New Roman" w:hAnsi="Times New Roman" w:eastAsia="Calibri" w:cs="Times New Roman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357" w:right="0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№1.4 </w:t>
      </w:r>
    </w:p>
    <w:p>
      <w:pPr>
        <w:pStyle w:val="Normal"/>
        <w:widowControl w:val="false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sz w:val="20"/>
          <w:szCs w:val="20"/>
        </w:rPr>
        <w:t xml:space="preserve">к Требованиям </w:t>
      </w:r>
      <w:r>
        <w:rPr>
          <w:rFonts w:cs="Times New Roman"/>
          <w:color w:val="000000"/>
        </w:rPr>
        <w:t xml:space="preserve">к </w:t>
      </w:r>
      <w:r>
        <w:rPr>
          <w:rFonts w:cs="Times New Roman"/>
          <w:sz w:val="20"/>
          <w:szCs w:val="20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 №___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к дополнительному соглашению от ___ № ___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 договору от_______№_____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Сопоставительная ведомость объемов работ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left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773" w:type="dxa"/>
        <w:jc w:val="left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709"/>
        <w:gridCol w:w="851"/>
        <w:gridCol w:w="1208"/>
        <w:gridCol w:w="916"/>
        <w:gridCol w:w="851"/>
        <w:gridCol w:w="852"/>
        <w:gridCol w:w="851"/>
        <w:gridCol w:w="851"/>
        <w:gridCol w:w="707"/>
        <w:gridCol w:w="567"/>
        <w:gridCol w:w="850"/>
        <w:gridCol w:w="1134"/>
      </w:tblGrid>
      <w:tr>
        <w:trPr>
          <w:trHeight w:val="88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2" w:right="0" w:hanging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№№ </w:t>
            </w:r>
            <w:r>
              <w:rPr>
                <w:rFonts w:cs="Times New Roman"/>
                <w:sz w:val="18"/>
                <w:szCs w:val="18"/>
              </w:rPr>
              <w:t>пп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6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Ед. изм.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60" w:right="0" w:hanging="141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Примечание</w:t>
            </w:r>
          </w:p>
        </w:tc>
      </w:tr>
      <w:tr>
        <w:trPr>
          <w:trHeight w:val="6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797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шифр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64" w:right="0" w:hanging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  <w:sz w:val="18"/>
                <w:szCs w:val="18"/>
              </w:rPr>
              <w:t xml:space="preserve">№ </w:t>
            </w:r>
            <w:r>
              <w:rPr>
                <w:rFonts w:cs="Times New Roman"/>
                <w:sz w:val="18"/>
                <w:szCs w:val="18"/>
              </w:rPr>
              <w:t>позиции в сметном расчете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7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13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79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0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увели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-80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  <w:tr>
        <w:trPr>
          <w:trHeight w:val="232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0" w:right="0" w:firstLine="72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footerReference w:type="default" r:id="rId17"/>
          <w:footerReference w:type="first" r:id="rId18"/>
          <w:type w:val="nextPage"/>
          <w:pgSz w:w="11906" w:h="16838"/>
          <w:pgMar w:left="426" w:right="924" w:gutter="0" w:header="0" w:top="284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93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>Приложение№2</w:t>
      </w:r>
      <w:r>
        <w:rPr>
          <w:rFonts w:cs="Times New Roman"/>
          <w:color w:val="000000"/>
          <w:sz w:val="20"/>
        </w:rPr>
        <w:t xml:space="preserve"> к Требованиям к оформлению и составлению сметной документации </w:t>
      </w:r>
      <w:r>
        <w:rPr>
          <w:rFonts w:cs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cs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ind w:left="5811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5811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left="5811" w:right="0" w:firstLine="72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ОБРАЗЕЦ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293"/>
        <w:gridCol w:w="683"/>
        <w:gridCol w:w="2763"/>
        <w:gridCol w:w="835"/>
        <w:gridCol w:w="1079"/>
        <w:gridCol w:w="653"/>
        <w:gridCol w:w="1022"/>
        <w:gridCol w:w="1064"/>
        <w:gridCol w:w="653"/>
        <w:gridCol w:w="1023"/>
        <w:gridCol w:w="501"/>
        <w:gridCol w:w="675"/>
        <w:gridCol w:w="2198"/>
      </w:tblGrid>
      <w:tr>
        <w:trPr>
          <w:trHeight w:val="285" w:hRule="atLeast"/>
        </w:trPr>
        <w:tc>
          <w:tcPr>
            <w:tcW w:w="308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4397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>
        <w:trPr>
          <w:trHeight w:val="225" w:hRule="atLeast"/>
        </w:trPr>
        <w:tc>
          <w:tcPr>
            <w:tcW w:w="584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50" w:type="dxa"/>
            <w:gridSpan w:val="5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8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240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"_____" ________2021 г</w:t>
            </w:r>
          </w:p>
        </w:tc>
      </w:tr>
      <w:tr>
        <w:trPr>
          <w:trHeight w:val="225" w:hRule="atLeast"/>
        </w:trPr>
        <w:tc>
          <w:tcPr>
            <w:tcW w:w="3083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12466" w:type="dxa"/>
            <w:gridSpan w:val="11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300" w:hRule="atLeast"/>
        </w:trPr>
        <w:tc>
          <w:tcPr>
            <w:tcW w:w="308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3598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2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8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>
        <w:trPr>
          <w:trHeight w:val="480" w:hRule="atLeast"/>
        </w:trPr>
        <w:tc>
          <w:tcPr>
            <w:tcW w:w="15549" w:type="dxa"/>
            <w:gridSpan w:val="1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ЛОКАЛЬНЫЙ СМЕТНЫЙ РАСЧЕТ (СМЕТА) №</w:t>
            </w:r>
          </w:p>
        </w:tc>
      </w:tr>
      <w:tr>
        <w:trPr>
          <w:trHeight w:val="16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8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5549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5549" w:type="dxa"/>
            <w:gridSpan w:val="1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>
        <w:trPr>
          <w:trHeight w:val="300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Составлен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8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177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6653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653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083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Составлен(а) в текущем (базисном) уровне цен</w:t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240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39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</w:tr>
      <w:tr>
        <w:trPr>
          <w:trHeight w:val="25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39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3392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5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чел.час.</w:t>
            </w:r>
          </w:p>
        </w:tc>
      </w:tr>
      <w:tr>
        <w:trPr>
          <w:trHeight w:val="255" w:hRule="atLeast"/>
        </w:trPr>
        <w:tc>
          <w:tcPr>
            <w:tcW w:w="110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8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415" w:type="dxa"/>
            <w:gridSpan w:val="5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Расчетный измеритель конструктивного решения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195" w:hRule="atLeast"/>
        </w:trPr>
        <w:tc>
          <w:tcPr>
            <w:tcW w:w="1107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29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68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276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83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79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2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64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5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501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67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19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№</w:t>
            </w:r>
            <w:r>
              <w:rPr>
                <w:rFonts w:eastAsia="Arial" w:cs="Arial"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42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7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>
        <w:trPr>
          <w:trHeight w:val="735" w:hRule="atLeast"/>
        </w:trPr>
        <w:tc>
          <w:tcPr>
            <w:tcW w:w="11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739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7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900" w:hRule="atLeast"/>
        </w:trPr>
        <w:tc>
          <w:tcPr>
            <w:tcW w:w="11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428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21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25" w:hRule="atLeast"/>
        </w:trPr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8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orient="landscape" w:w="16838" w:h="11906"/>
          <w:pgMar w:left="720" w:right="568" w:gutter="0" w:header="0" w:top="993" w:footer="709" w:bottom="924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Приложение №3</w:t>
      </w:r>
    </w:p>
    <w:p>
      <w:pPr>
        <w:pStyle w:val="Normal"/>
        <w:spacing w:lineRule="auto" w:line="240" w:before="0" w:after="0"/>
        <w:ind w:left="5811" w:right="0" w:hanging="0"/>
        <w:jc w:val="left"/>
        <w:rPr/>
      </w:pPr>
      <w:r>
        <w:rPr>
          <w:rFonts w:cs="Times New Roman"/>
          <w:color w:val="000000"/>
          <w:sz w:val="20"/>
        </w:rPr>
        <w:t xml:space="preserve">к Требованиям к оформлению и составлению сметной документации </w:t>
      </w:r>
      <w:r>
        <w:rPr>
          <w:rFonts w:cs="Times New Roman"/>
          <w:color w:val="000000"/>
          <w:sz w:val="20"/>
          <w:szCs w:val="20"/>
        </w:rPr>
        <w:t>на выполнение строительно-монтажных работ</w:t>
      </w:r>
      <w:r>
        <w:rPr>
          <w:rFonts w:cs="Times New Roman"/>
          <w:color w:val="000000"/>
          <w:sz w:val="20"/>
        </w:rPr>
        <w:t xml:space="preserve"> по программе реконструкции и техническому перевооружению.</w:t>
      </w:r>
    </w:p>
    <w:p>
      <w:pPr>
        <w:pStyle w:val="Normal"/>
        <w:spacing w:lineRule="auto" w:line="240" w:before="0" w:after="0"/>
        <w:ind w:left="5811" w:right="0" w:hanging="0"/>
        <w:jc w:val="lef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cs="Times New Roman"/>
          <w:color w:val="000000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/>
          <w:color w:val="FF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left="0" w:right="0" w:hanging="567"/>
        <w:jc w:val="left"/>
        <w:rPr>
          <w:rFonts w:ascii="Times New Roman" w:hAnsi="Times New Roman" w:cs="Times New Roman"/>
        </w:rPr>
      </w:pPr>
      <w:r>
        <w:rPr>
          <w:rFonts w:cs="Times New Roman"/>
        </w:rPr>
        <w:t>Приложение № __ к смете № __</w:t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567"/>
        <w:jc w:val="left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Расчет командировочных расходов</w:t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tbl>
      <w:tblPr>
        <w:tblW w:w="1050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1488"/>
        <w:gridCol w:w="1373"/>
        <w:gridCol w:w="1486"/>
        <w:gridCol w:w="1378"/>
        <w:gridCol w:w="1058"/>
        <w:gridCol w:w="1129"/>
        <w:gridCol w:w="1083"/>
        <w:gridCol w:w="968"/>
      </w:tblGrid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Пункт назначения</w:t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Количество специалистов</w:t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Проезд к месту командировки (туда и обратно)</w:t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Проживание в номере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гостиницы класса «3 звезды»,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чел/сутки.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Суточныe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cs="Times New Roman"/>
              </w:rPr>
              <w:t> </w:t>
            </w:r>
            <w:r>
              <w:rPr>
                <w:rFonts w:cs="Times New Roman"/>
              </w:rPr>
              <w:t>1 сутки/руб.</w:t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Продолжи-тельность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команди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ровки,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сутки</w:t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Продол- житель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ность прожив</w:t>
            </w:r>
          </w:p>
          <w:p>
            <w:pPr>
              <w:pStyle w:val="Normal"/>
              <w:widowControl w:val="false"/>
              <w:spacing w:lineRule="auto" w:line="240" w:before="280" w:after="28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ания в гостинице,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сутки</w:t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Итого затрат, рубли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8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86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Итого по сметному расчету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6373" w:right="0" w:hanging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</w:r>
    </w:p>
    <w:p>
      <w:pPr>
        <w:pStyle w:val="Normal"/>
        <w:spacing w:before="0" w:after="200"/>
        <w:jc w:val="left"/>
        <w:rPr/>
      </w:pPr>
      <w:r>
        <w:rPr/>
      </w:r>
    </w:p>
    <w:sectPr>
      <w:headerReference w:type="default" r:id="rId23"/>
      <w:headerReference w:type="first" r:id="rId24"/>
      <w:footerReference w:type="default" r:id="rId25"/>
      <w:footerReference w:type="first" r:id="rId26"/>
      <w:type w:val="nextPage"/>
      <w:pgSz w:w="11906" w:h="16838"/>
      <w:pgMar w:left="1276" w:right="709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2"/>
        <w:iCs w:val="false"/>
        <w:bCs w:val="fals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i w:val="false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i w:val="false"/>
        <w:b w:val="false"/>
        <w:szCs w:val="24"/>
        <w:iCs w:val="false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9" w:hanging="432"/>
      </w:pPr>
      <w:rPr>
        <w:sz w:val="24"/>
        <w:i w:val="false"/>
        <w:b w:val="false"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u w:val="none"/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8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235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19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14f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10749"/>
    <w:pPr>
      <w:keepNext w:val="true"/>
      <w:tabs>
        <w:tab w:val="clear" w:pos="708"/>
        <w:tab w:val="left" w:pos="0" w:leader="none"/>
      </w:tabs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1074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796dd1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413c84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WW8Num4z0">
    <w:name w:val="WW8Num4z0"/>
    <w:qFormat/>
    <w:rPr>
      <w:b w:val="false"/>
      <w:color w:val="000000"/>
      <w:u w:val="none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color w:val="00000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eastAsia="Calibri" w:cs="Times New Roman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07c5c"/>
    <w:pPr>
      <w:spacing w:before="120" w:after="0"/>
    </w:pPr>
    <w:rPr>
      <w:rFonts w:cs="Calibri" w:cs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06dd5"/>
    <w:pPr>
      <w:tabs>
        <w:tab w:val="clear" w:pos="708"/>
        <w:tab w:val="left" w:pos="140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07c5c"/>
    <w:pPr>
      <w:spacing w:before="120" w:after="0"/>
      <w:ind w:left="280" w:hanging="0"/>
    </w:pPr>
    <w:rPr>
      <w:rFonts w:cs="Calibri" w:cstheme="minorHAnsi"/>
      <w:b/>
      <w:bCs/>
      <w:sz w:val="22"/>
      <w:szCs w:val="22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22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07c5c"/>
    <w:pPr>
      <w:ind w:left="84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796dd1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796dd1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796dd1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4">
    <w:name w:val="WW8Num4"/>
    <w:qFormat/>
  </w:style>
  <w:style w:type="numbering" w:styleId="WW8Num14">
    <w:name w:val="WW8Num14"/>
    <w:qFormat/>
  </w:style>
  <w:style w:type="numbering" w:styleId="WW8Num6">
    <w:name w:val="WW8Num6"/>
    <w:qFormat/>
  </w:style>
  <w:style w:type="numbering" w:styleId="WW8Num11">
    <w:name w:val="WW8Num11"/>
    <w:qFormat/>
  </w:style>
  <w:style w:type="numbering" w:styleId="WW8Num2">
    <w:name w:val="WW8Num2"/>
    <w:qFormat/>
  </w:style>
  <w:style w:type="numbering" w:styleId="WW8Num8">
    <w:name w:val="WW8Num8"/>
    <w:qFormat/>
  </w:style>
  <w:style w:type="numbering" w:styleId="WW8Num13">
    <w:name w:val="WW8Num13"/>
    <w:qFormat/>
  </w:style>
  <w:style w:type="numbering" w:styleId="WW8Num5">
    <w:name w:val="WW8Num5"/>
    <w:qFormat/>
  </w:style>
  <w:style w:type="numbering" w:styleId="WW8Num7">
    <w:name w:val="WW8Num7"/>
    <w:qFormat/>
  </w:style>
  <w:style w:type="numbering" w:styleId="WW8Num17">
    <w:name w:val="WW8Num17"/>
    <w:qFormat/>
  </w:style>
  <w:style w:type="numbering" w:styleId="WW8Num10">
    <w:name w:val="WW8Num10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image" Target="media/image1.png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footer" Target="footer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header" Target="header14.xml"/><Relationship Id="rId20" Type="http://schemas.openxmlformats.org/officeDocument/2006/relationships/header" Target="header15.xml"/><Relationship Id="rId21" Type="http://schemas.openxmlformats.org/officeDocument/2006/relationships/footer" Target="footer4.xml"/><Relationship Id="rId22" Type="http://schemas.openxmlformats.org/officeDocument/2006/relationships/footer" Target="footer5.xml"/><Relationship Id="rId23" Type="http://schemas.openxmlformats.org/officeDocument/2006/relationships/header" Target="header16.xml"/><Relationship Id="rId24" Type="http://schemas.openxmlformats.org/officeDocument/2006/relationships/header" Target="header17.xml"/><Relationship Id="rId25" Type="http://schemas.openxmlformats.org/officeDocument/2006/relationships/footer" Target="footer6.xml"/><Relationship Id="rId26" Type="http://schemas.openxmlformats.org/officeDocument/2006/relationships/footer" Target="footer7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<Relationship Id="rId3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5FFD-7E18-4C3E-BA0F-20DF46F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Application>AlterOffice/3.4.0.9$Linux_X86_64 LibreOffice_project/b8daf9e823b1a5463a2f48435ddc2e8696e7d4fc</Application>
  <AppVersion>15.0000</AppVersion>
  <Pages>27</Pages>
  <Words>4707</Words>
  <Characters>32101</Characters>
  <CharactersWithSpaces>38148</CharactersWithSpaces>
  <Paragraphs>621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2024-06-18T08:05:00Z</dcterms:created>
  <dc:creator>Быстров Олег Геннадьевич</dc:creator>
  <dc:description/>
  <dc:language>ru-RU</dc:language>
  <cp:lastModifiedBy>korolevkv@corp.gidroogk.com</cp:lastModifiedBy>
  <cp:lastPrinted>2006-07-26T14:04:00Z</cp:lastPrinted>
  <dcterms:modified xsi:type="dcterms:W3CDTF">2026-06-04T14:27:44Z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