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9D" w:rsidRPr="001671EC" w:rsidRDefault="0045229D" w:rsidP="004522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1C6D" w:rsidRDefault="00961C6D" w:rsidP="00961C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 оказание услуг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B4236">
        <w:rPr>
          <w:rFonts w:ascii="Times New Roman" w:hAnsi="Times New Roman" w:cs="Times New Roman"/>
          <w:sz w:val="28"/>
          <w:szCs w:val="28"/>
        </w:rPr>
        <w:t>Оказание услуг, связанных с организацией выпуска (выпусков) облигаций, размещением облигаций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9C2C8D" w:rsidP="004522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236">
        <w:rPr>
          <w:rFonts w:ascii="Times New Roman" w:hAnsi="Times New Roman"/>
          <w:sz w:val="28"/>
          <w:szCs w:val="28"/>
        </w:rPr>
        <w:t>Москва, 20</w:t>
      </w:r>
      <w:r w:rsidR="00AB1031">
        <w:rPr>
          <w:rFonts w:ascii="Times New Roman" w:hAnsi="Times New Roman"/>
          <w:sz w:val="28"/>
          <w:szCs w:val="28"/>
        </w:rPr>
        <w:t>2</w:t>
      </w:r>
      <w:r w:rsidR="0067405A">
        <w:rPr>
          <w:rFonts w:ascii="Times New Roman" w:hAnsi="Times New Roman"/>
          <w:sz w:val="28"/>
          <w:szCs w:val="28"/>
        </w:rPr>
        <w:t>6</w:t>
      </w:r>
      <w:r w:rsidR="0045229D" w:rsidRPr="005B4236">
        <w:rPr>
          <w:rFonts w:ascii="Times New Roman" w:hAnsi="Times New Roman"/>
          <w:sz w:val="28"/>
          <w:szCs w:val="28"/>
        </w:rPr>
        <w:br w:type="page"/>
      </w:r>
    </w:p>
    <w:p w:rsidR="004B3DFB" w:rsidRPr="005B4236" w:rsidRDefault="004B3DFB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DFB" w:rsidRPr="005B4236" w:rsidRDefault="004B3DFB" w:rsidP="004B3DF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36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:rsidR="004B3DFB" w:rsidRPr="005B4236" w:rsidRDefault="004B3DFB" w:rsidP="004B3D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4B3DFB" w:rsidRPr="005B4236" w:rsidTr="009607BC">
        <w:tc>
          <w:tcPr>
            <w:tcW w:w="993" w:type="dxa"/>
            <w:vAlign w:val="center"/>
          </w:tcPr>
          <w:p w:rsidR="004B3DFB" w:rsidRPr="005B4236" w:rsidRDefault="004B3DFB" w:rsidP="00871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4B3DFB" w:rsidRPr="005B4236" w:rsidRDefault="004B3DFB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Сокращение</w:t>
            </w:r>
          </w:p>
        </w:tc>
        <w:tc>
          <w:tcPr>
            <w:tcW w:w="5953" w:type="dxa"/>
            <w:vAlign w:val="center"/>
          </w:tcPr>
          <w:p w:rsidR="004B3DFB" w:rsidRPr="005B4236" w:rsidRDefault="004B3DFB" w:rsidP="008712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Расшифровка сокращения</w:t>
            </w:r>
          </w:p>
        </w:tc>
      </w:tr>
      <w:tr w:rsidR="004B3DFB" w:rsidRPr="005B4236" w:rsidTr="009607BC">
        <w:tc>
          <w:tcPr>
            <w:tcW w:w="993" w:type="dxa"/>
          </w:tcPr>
          <w:p w:rsidR="004B3DFB" w:rsidRPr="005B4236" w:rsidRDefault="004B3DFB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B3DFB" w:rsidRPr="005B4236" w:rsidRDefault="004B3DFB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Эмитент</w:t>
            </w:r>
          </w:p>
        </w:tc>
        <w:tc>
          <w:tcPr>
            <w:tcW w:w="5953" w:type="dxa"/>
          </w:tcPr>
          <w:p w:rsidR="004B3DFB" w:rsidRPr="005B4236" w:rsidRDefault="009935AC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Юридическое лицо, выпускающее (эмитирующее</w:t>
            </w:r>
            <w:r w:rsidR="0041528F" w:rsidRPr="005B4236">
              <w:rPr>
                <w:rFonts w:ascii="Times New Roman" w:hAnsi="Times New Roman" w:cs="Times New Roman"/>
                <w:sz w:val="28"/>
                <w:szCs w:val="28"/>
              </w:rPr>
              <w:t>) ценные бумаги для развития и финансирования своей деятельности, несущее от своего имени обязательства перед владельцами ценных бумаг по осуществлению прав, закрепленных ими</w:t>
            </w:r>
            <w:r w:rsidR="00974446" w:rsidRPr="005B4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3DFB" w:rsidRPr="005B4236" w:rsidTr="009607BC">
        <w:tc>
          <w:tcPr>
            <w:tcW w:w="993" w:type="dxa"/>
          </w:tcPr>
          <w:p w:rsidR="004B3DFB" w:rsidRPr="005B4236" w:rsidRDefault="004B3DFB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B3DFB" w:rsidRPr="005B4236" w:rsidRDefault="004B3DFB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</w:tc>
        <w:tc>
          <w:tcPr>
            <w:tcW w:w="5953" w:type="dxa"/>
          </w:tcPr>
          <w:p w:rsidR="004B3DFB" w:rsidRPr="005B4236" w:rsidRDefault="004B3DFB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Юридическое лицо (профессиональный участник</w:t>
            </w:r>
            <w:r w:rsidR="009935AC" w:rsidRPr="005B4236">
              <w:rPr>
                <w:rFonts w:ascii="Times New Roman" w:hAnsi="Times New Roman" w:cs="Times New Roman"/>
                <w:sz w:val="28"/>
                <w:szCs w:val="28"/>
              </w:rPr>
              <w:t xml:space="preserve"> рынка ценных бумаг</w:t>
            </w:r>
            <w:r w:rsidR="007B078E">
              <w:rPr>
                <w:rFonts w:ascii="Times New Roman" w:hAnsi="Times New Roman" w:cs="Times New Roman"/>
                <w:sz w:val="28"/>
                <w:szCs w:val="28"/>
              </w:rPr>
              <w:t>, действующий на основании брокерской лицензии Банка России</w:t>
            </w:r>
            <w:r w:rsidR="009935AC" w:rsidRPr="005B4236">
              <w:rPr>
                <w:rFonts w:ascii="Times New Roman" w:hAnsi="Times New Roman" w:cs="Times New Roman"/>
                <w:sz w:val="28"/>
                <w:szCs w:val="28"/>
              </w:rPr>
              <w:t>), оказывающе</w:t>
            </w: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 xml:space="preserve">е Эмитенту услуги по </w:t>
            </w:r>
            <w:r w:rsidRPr="00A4631A">
              <w:rPr>
                <w:rFonts w:ascii="Times New Roman" w:hAnsi="Times New Roman" w:cs="Times New Roman"/>
                <w:sz w:val="28"/>
                <w:szCs w:val="28"/>
              </w:rPr>
              <w:t>организации выпуска облигаций Эмитента</w:t>
            </w:r>
            <w:r w:rsidR="005F01F8" w:rsidRPr="00A4631A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размещению облигаций</w:t>
            </w:r>
            <w:r w:rsidR="00974446" w:rsidRPr="00A46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6EC2" w:rsidRPr="005B4236" w:rsidTr="009607BC">
        <w:tc>
          <w:tcPr>
            <w:tcW w:w="993" w:type="dxa"/>
          </w:tcPr>
          <w:p w:rsidR="007C6EC2" w:rsidRPr="005B4236" w:rsidRDefault="006A4FF3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C6EC2" w:rsidRPr="005B4236" w:rsidRDefault="00E65F2E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Сторон</w:t>
            </w:r>
            <w:r w:rsidR="006A4FF3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7C6EC2" w:rsidRPr="005B4236" w:rsidRDefault="007C6EC2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Эмитент и Организатор</w:t>
            </w:r>
          </w:p>
        </w:tc>
      </w:tr>
      <w:tr w:rsidR="00A0748E" w:rsidRPr="005B4236" w:rsidTr="009607BC">
        <w:tc>
          <w:tcPr>
            <w:tcW w:w="993" w:type="dxa"/>
          </w:tcPr>
          <w:p w:rsidR="00A0748E" w:rsidRDefault="00A0748E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748E" w:rsidRDefault="00A0748E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5953" w:type="dxa"/>
          </w:tcPr>
          <w:p w:rsidR="00A0748E" w:rsidRDefault="00A0748E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«Почта России»</w:t>
            </w:r>
          </w:p>
        </w:tc>
      </w:tr>
      <w:tr w:rsidR="00B96206" w:rsidRPr="005B4236" w:rsidTr="00A72FB4">
        <w:trPr>
          <w:trHeight w:val="1888"/>
        </w:trPr>
        <w:tc>
          <w:tcPr>
            <w:tcW w:w="993" w:type="dxa"/>
          </w:tcPr>
          <w:p w:rsidR="00B96206" w:rsidRDefault="00A0748E" w:rsidP="00EF5A6B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96206" w:rsidRPr="00B96206" w:rsidDel="00B96206" w:rsidRDefault="00B96206" w:rsidP="00A72FB4">
            <w:pPr>
              <w:pStyle w:val="ConsPlusNormal"/>
              <w:ind w:firstLine="0"/>
              <w:jc w:val="center"/>
            </w:pPr>
            <w:r w:rsidRPr="00B96206">
              <w:rPr>
                <w:rFonts w:ascii="Times New Roman" w:hAnsi="Times New Roman" w:cs="Times New Roman"/>
                <w:b/>
                <w:sz w:val="28"/>
                <w:szCs w:val="28"/>
              </w:rPr>
              <w:t>Гарантия выкупа</w:t>
            </w:r>
          </w:p>
        </w:tc>
        <w:tc>
          <w:tcPr>
            <w:tcW w:w="5953" w:type="dxa"/>
          </w:tcPr>
          <w:p w:rsidR="00B96206" w:rsidRPr="00B96206" w:rsidDel="00B96206" w:rsidRDefault="00B96206" w:rsidP="00A72FB4">
            <w:pPr>
              <w:spacing w:after="0"/>
              <w:ind w:left="80" w:right="7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6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Обязательство Организатора приобрести в ходе размещения выпуска ценные бумаги, не размещенные среди покупателей ценных бумаг, в ходе предварительного сбора заявок на покупку.</w:t>
            </w:r>
          </w:p>
        </w:tc>
      </w:tr>
      <w:tr w:rsidR="009935AC" w:rsidRPr="005B4236" w:rsidTr="009607BC">
        <w:tc>
          <w:tcPr>
            <w:tcW w:w="993" w:type="dxa"/>
          </w:tcPr>
          <w:p w:rsidR="009935AC" w:rsidRPr="005B4236" w:rsidRDefault="00A0748E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935AC" w:rsidRPr="005B4236" w:rsidRDefault="009935AC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Ценные бумаги</w:t>
            </w:r>
          </w:p>
        </w:tc>
        <w:tc>
          <w:tcPr>
            <w:tcW w:w="5953" w:type="dxa"/>
          </w:tcPr>
          <w:p w:rsidR="00974446" w:rsidRPr="005B4236" w:rsidRDefault="00974446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Эмиссионная ценная бумага - любая ценная бумага, в том числе бездокументарная, которая характеризуется одновременно следующими признаками:</w:t>
            </w:r>
          </w:p>
          <w:p w:rsidR="00974446" w:rsidRPr="005B4236" w:rsidRDefault="00974446" w:rsidP="00A72FB4">
            <w:pPr>
              <w:pStyle w:val="ConsPlusNormal"/>
              <w:ind w:left="80" w:right="7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закрепляет совокупность имущественных и неимущественных прав, подлежащих удостоверению, уступке и безусловному осуществлению с соблюдением установленных Федеральным </w:t>
            </w:r>
            <w:r w:rsidRPr="000119E3">
              <w:rPr>
                <w:rFonts w:ascii="Times New Roman" w:hAnsi="Times New Roman" w:cs="Times New Roman"/>
                <w:sz w:val="28"/>
                <w:szCs w:val="28"/>
              </w:rPr>
              <w:t>законом от 22.04.1996 N 39-ФЗ «О рынке ценных бумаг» формы и порядка;</w:t>
            </w:r>
          </w:p>
          <w:p w:rsidR="00974446" w:rsidRPr="005B4236" w:rsidRDefault="00974446" w:rsidP="00A72FB4">
            <w:pPr>
              <w:pStyle w:val="ConsPlusNormal"/>
              <w:ind w:left="80" w:right="7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размещается выпусками;</w:t>
            </w:r>
          </w:p>
          <w:p w:rsidR="009935AC" w:rsidRPr="005B4236" w:rsidRDefault="00974446" w:rsidP="00A72FB4">
            <w:pPr>
              <w:pStyle w:val="ConsPlusNormal"/>
              <w:ind w:left="80" w:right="7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sz w:val="28"/>
                <w:szCs w:val="28"/>
              </w:rPr>
              <w:t>имеет равные объем и сроки осуществления прав внутри одного выпуска вне зависимости от времени приобретения ценной бумаги.</w:t>
            </w:r>
          </w:p>
        </w:tc>
      </w:tr>
      <w:tr w:rsidR="00974446" w:rsidRPr="000119E3" w:rsidTr="009607BC">
        <w:tc>
          <w:tcPr>
            <w:tcW w:w="993" w:type="dxa"/>
          </w:tcPr>
          <w:p w:rsidR="00974446" w:rsidRPr="005B4236" w:rsidRDefault="00A0748E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74446" w:rsidRPr="005B4236" w:rsidRDefault="00974446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236">
              <w:rPr>
                <w:rFonts w:ascii="Times New Roman" w:hAnsi="Times New Roman" w:cs="Times New Roman"/>
                <w:b/>
                <w:sz w:val="28"/>
                <w:szCs w:val="28"/>
              </w:rPr>
              <w:t>Облигация</w:t>
            </w:r>
          </w:p>
        </w:tc>
        <w:tc>
          <w:tcPr>
            <w:tcW w:w="5953" w:type="dxa"/>
          </w:tcPr>
          <w:p w:rsidR="00974446" w:rsidRPr="000119E3" w:rsidRDefault="00974446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E3">
              <w:rPr>
                <w:rFonts w:ascii="Times New Roman" w:hAnsi="Times New Roman" w:cs="Times New Roman"/>
                <w:sz w:val="28"/>
                <w:szCs w:val="28"/>
              </w:rPr>
              <w:t xml:space="preserve">Эмиссионная ценная бумага, закрепляющая </w:t>
            </w:r>
            <w:r w:rsidRPr="0001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ее владельца на получение</w:t>
            </w:r>
            <w:r w:rsidR="00566D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119E3">
              <w:rPr>
                <w:rFonts w:ascii="Times New Roman" w:hAnsi="Times New Roman" w:cs="Times New Roman"/>
                <w:sz w:val="28"/>
                <w:szCs w:val="28"/>
              </w:rPr>
              <w:t>если иное не предусмотрено Федеральным законом от 22.04.1996 N 39-ФЗ «О рынке ценных бумаг»</w:t>
            </w:r>
            <w:r w:rsidR="00566D1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Федеральный закон))</w:t>
            </w:r>
            <w:r w:rsidRPr="000119E3">
              <w:rPr>
                <w:rFonts w:ascii="Times New Roman" w:hAnsi="Times New Roman" w:cs="Times New Roman"/>
                <w:sz w:val="28"/>
                <w:szCs w:val="28"/>
              </w:rPr>
              <w:t xml:space="preserve"> в предусмотренный в ней</w:t>
            </w:r>
            <w:r w:rsidR="00566D16" w:rsidRPr="000119E3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  <w:r w:rsidRPr="000119E3">
              <w:rPr>
                <w:rFonts w:ascii="Times New Roman" w:hAnsi="Times New Roman" w:cs="Times New Roman"/>
                <w:sz w:val="28"/>
                <w:szCs w:val="28"/>
              </w:rPr>
              <w:t xml:space="preserve"> от эмитента облигации ее номинальной стоимости или иного имущественного эквивалента. Облигация при соблюдении условий, установленных Федеральным законом, может не предусматривать право ее владельца на получение номинальной стоимости облигации в зависимости от наступления одного или нескольких указанных в ней обстоятельств. Облигация может также предусматривать право ее владельца на получение установленных в ней процентов либо иные имущественные права. Доходом по облигации являются процент и (или) дисконт.</w:t>
            </w:r>
          </w:p>
        </w:tc>
      </w:tr>
      <w:tr w:rsidR="00A4631A" w:rsidRPr="000119E3" w:rsidTr="009607BC">
        <w:tc>
          <w:tcPr>
            <w:tcW w:w="993" w:type="dxa"/>
          </w:tcPr>
          <w:p w:rsidR="00A4631A" w:rsidRDefault="00A0748E" w:rsidP="009607BC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</w:tcPr>
          <w:p w:rsidR="00A4631A" w:rsidRPr="005B4236" w:rsidRDefault="00A4631A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0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биржевых облигаций или Программа облигаций</w:t>
            </w:r>
          </w:p>
        </w:tc>
        <w:tc>
          <w:tcPr>
            <w:tcW w:w="5953" w:type="dxa"/>
          </w:tcPr>
          <w:p w:rsidR="00A4631A" w:rsidRPr="000119E3" w:rsidRDefault="0067405A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05A">
              <w:rPr>
                <w:rFonts w:ascii="Times New Roman" w:hAnsi="Times New Roman" w:cs="Times New Roman"/>
                <w:sz w:val="28"/>
                <w:szCs w:val="28"/>
              </w:rPr>
              <w:t>Совокупность биржевых облигаций Эмитента, размещаемых в рамках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004Р</w:t>
            </w:r>
            <w:r w:rsidRPr="0067405A">
              <w:rPr>
                <w:rFonts w:ascii="Times New Roman" w:hAnsi="Times New Roman" w:cs="Times New Roman"/>
                <w:sz w:val="28"/>
                <w:szCs w:val="28"/>
              </w:rPr>
              <w:t xml:space="preserve"> биржевых облигаций общей номинальной стоимостью до 50 000 000 000 (Пятидесяти миллиардов) рублей 00 копеек.</w:t>
            </w:r>
          </w:p>
        </w:tc>
      </w:tr>
      <w:tr w:rsidR="00A4631A" w:rsidRPr="000119E3" w:rsidTr="009607BC">
        <w:tc>
          <w:tcPr>
            <w:tcW w:w="993" w:type="dxa"/>
          </w:tcPr>
          <w:p w:rsidR="00A4631A" w:rsidRDefault="00A0748E" w:rsidP="00A4631A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4631A" w:rsidRPr="00A4631A" w:rsidRDefault="00A4631A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463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Серия</w:t>
            </w:r>
            <w:proofErr w:type="spellEnd"/>
          </w:p>
        </w:tc>
        <w:tc>
          <w:tcPr>
            <w:tcW w:w="5953" w:type="dxa"/>
          </w:tcPr>
          <w:p w:rsidR="00A4631A" w:rsidRPr="00A4631A" w:rsidRDefault="00A4631A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31A">
              <w:rPr>
                <w:rFonts w:ascii="Times New Roman" w:hAnsi="Times New Roman" w:cs="Times New Roman"/>
                <w:sz w:val="28"/>
                <w:szCs w:val="28"/>
              </w:rPr>
              <w:t>Отдельный выпуск биржевых облигаций, размещаемых в рамках Программы облигаций с одинаковыми условиями (дата размещения, срок размещения, сумма размещения, регистрационный номер).</w:t>
            </w:r>
          </w:p>
        </w:tc>
      </w:tr>
      <w:tr w:rsidR="00A4631A" w:rsidRPr="005B4236" w:rsidTr="009607BC">
        <w:tc>
          <w:tcPr>
            <w:tcW w:w="993" w:type="dxa"/>
          </w:tcPr>
          <w:p w:rsidR="00A4631A" w:rsidRPr="005B4236" w:rsidRDefault="00A0748E" w:rsidP="00A4631A">
            <w:pPr>
              <w:pStyle w:val="ConsPlusNormal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4631A" w:rsidRPr="00942A08" w:rsidRDefault="00A4631A" w:rsidP="00A7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42A08">
              <w:rPr>
                <w:rFonts w:ascii="Times New Roman" w:hAnsi="Times New Roman" w:cs="Times New Roman"/>
                <w:b/>
                <w:sz w:val="28"/>
                <w:szCs w:val="28"/>
              </w:rPr>
              <w:t>Сbonds</w:t>
            </w:r>
            <w:proofErr w:type="spellEnd"/>
          </w:p>
        </w:tc>
        <w:tc>
          <w:tcPr>
            <w:tcW w:w="5953" w:type="dxa"/>
          </w:tcPr>
          <w:p w:rsidR="00A4631A" w:rsidRDefault="00A4631A" w:rsidP="00A72FB4">
            <w:pPr>
              <w:pStyle w:val="ConsPlusNormal"/>
              <w:ind w:left="80" w:right="7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50458">
              <w:rPr>
                <w:rFonts w:ascii="Times New Roman" w:hAnsi="Times New Roman" w:cs="Times New Roman"/>
                <w:sz w:val="28"/>
                <w:szCs w:val="28"/>
              </w:rPr>
              <w:t xml:space="preserve">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C6EC2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 w:rsidRPr="007C6EC2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новостей и конъюнктуры финансовых рынков, обеспечивает поддержку базы данных по всем выпускам долговых бумаг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3DFB" w:rsidRPr="005B4236" w:rsidRDefault="004B3DFB" w:rsidP="004522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36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36">
        <w:rPr>
          <w:rFonts w:ascii="Times New Roman" w:hAnsi="Times New Roman" w:cs="Times New Roman"/>
          <w:sz w:val="28"/>
          <w:szCs w:val="28"/>
        </w:rPr>
        <w:t>Оказание услуг, связанных с организацией выпуска (выпусков) облигаций, размещением облигаций.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9607BC" w:rsidRDefault="0045229D" w:rsidP="009607B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36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:rsidR="009F6EDE" w:rsidRPr="009C2C8D" w:rsidRDefault="009C2C8D" w:rsidP="009C2C8D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7C58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 обязуется оказать Эмитенту услуги</w:t>
      </w:r>
      <w:r w:rsidR="005F01F8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организации</w:t>
      </w:r>
      <w:r w:rsidR="00E65F2E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выпуска (выпусков) облигаций, размещению</w:t>
      </w:r>
      <w:r w:rsidR="00187C58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облигаций в рамках Программы </w:t>
      </w:r>
      <w:r w:rsidR="00187C58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биржевых облигаций серии 00</w:t>
      </w:r>
      <w:r w:rsidR="00674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87C58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BE0138" w:rsidRPr="002E13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Программа облигаций)</w:t>
      </w:r>
      <w:r w:rsidR="00A07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48E" w:rsidRPr="0067405A">
        <w:rPr>
          <w:rFonts w:ascii="Times New Roman" w:hAnsi="Times New Roman"/>
          <w:sz w:val="28"/>
          <w:szCs w:val="28"/>
        </w:rPr>
        <w:t>общей номинальной стоимостью до 50 000 000 000 (Пятидесяти миллиардов) рублей 00 копеек</w:t>
      </w:r>
      <w:r w:rsidR="00674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2C8D" w:rsidRPr="009C2C8D" w:rsidRDefault="009C2C8D" w:rsidP="009C2C8D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Эмитент самостоятельно определяет необходимый фактический объем размещения Облигаций и вправе не размещать полный объем номинальной стоимости ценных бумаг, указанный в п. </w:t>
      </w: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5B4236"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настоящего Технического задания </w:t>
      </w:r>
      <w:r w:rsidR="005B4236"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срока действия д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оговора. При этом максимальный объем общей номинальной стоимости Программы биржевых </w:t>
      </w:r>
      <w:r w:rsidR="00F217C2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облигаций 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 размерами, указанными в п.</w:t>
      </w: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3.1.</w:t>
      </w:r>
      <w:r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 Технического задания.</w:t>
      </w:r>
    </w:p>
    <w:p w:rsidR="00BB3774" w:rsidRPr="005B4236" w:rsidRDefault="005B4236" w:rsidP="009C2C8D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9C2C8D" w:rsidRPr="009C2C8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бъем размещения ка</w:t>
      </w: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ждого из организуемых в рамках д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оговора выпусков Облигаций не может превышать показатель, соответствующий разности между совокупной номинальной стоимост</w:t>
      </w:r>
      <w:r w:rsidR="004E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ценных бумаг, указанной в п. </w:t>
      </w: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865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Технического задания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совокупной номинальной стоимост</w:t>
      </w:r>
      <w:r w:rsidR="004E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фактически размещенных Облигаций Эмитента, выпущенных в рамках Программ</w:t>
      </w:r>
      <w:r w:rsidR="00E606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облигаций, указанн</w:t>
      </w:r>
      <w:r w:rsidR="00E606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 </w:t>
      </w:r>
      <w:r w:rsidRPr="005B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9C2C8D" w:rsidRPr="009C2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865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Технического задания</w:t>
      </w:r>
      <w:r w:rsidR="00F21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217C2" w:rsidRDefault="00DA40C2" w:rsidP="00F217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236">
        <w:rPr>
          <w:rFonts w:ascii="Times New Roman" w:hAnsi="Times New Roman" w:cs="Times New Roman"/>
          <w:sz w:val="28"/>
          <w:szCs w:val="28"/>
        </w:rPr>
        <w:t>Цел</w:t>
      </w:r>
      <w:r w:rsidR="00F217C2">
        <w:rPr>
          <w:rFonts w:ascii="Times New Roman" w:hAnsi="Times New Roman" w:cs="Times New Roman"/>
          <w:sz w:val="28"/>
          <w:szCs w:val="28"/>
        </w:rPr>
        <w:t>ь</w:t>
      </w:r>
      <w:r w:rsidRPr="005B4236">
        <w:rPr>
          <w:rFonts w:ascii="Times New Roman" w:hAnsi="Times New Roman" w:cs="Times New Roman"/>
          <w:sz w:val="28"/>
          <w:szCs w:val="28"/>
        </w:rPr>
        <w:t xml:space="preserve"> и задачи: </w:t>
      </w:r>
    </w:p>
    <w:p w:rsidR="00F217C2" w:rsidRPr="00650458" w:rsidRDefault="00F217C2" w:rsidP="00F217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153">
        <w:rPr>
          <w:rFonts w:ascii="Times New Roman" w:hAnsi="Times New Roman" w:cs="Times New Roman"/>
          <w:sz w:val="28"/>
          <w:szCs w:val="28"/>
        </w:rPr>
        <w:t xml:space="preserve">Привлечение организатора облигационных займов </w:t>
      </w:r>
      <w:r w:rsidR="00A0748E">
        <w:rPr>
          <w:rFonts w:ascii="Times New Roman" w:hAnsi="Times New Roman" w:cs="Times New Roman"/>
          <w:sz w:val="28"/>
          <w:szCs w:val="28"/>
        </w:rPr>
        <w:t>О</w:t>
      </w:r>
      <w:r w:rsidRPr="00086153">
        <w:rPr>
          <w:rFonts w:ascii="Times New Roman" w:hAnsi="Times New Roman" w:cs="Times New Roman"/>
          <w:sz w:val="28"/>
          <w:szCs w:val="28"/>
        </w:rPr>
        <w:t>бщества для размещения</w:t>
      </w:r>
      <w:r w:rsidRPr="00086153">
        <w:rPr>
          <w:rFonts w:ascii="Times New Roman" w:hAnsi="Times New Roman"/>
          <w:sz w:val="28"/>
          <w:szCs w:val="28"/>
        </w:rPr>
        <w:t xml:space="preserve"> биржевых облигаций </w:t>
      </w:r>
      <w:r w:rsidRPr="00086153">
        <w:rPr>
          <w:rFonts w:ascii="Times New Roman" w:hAnsi="Times New Roman" w:cs="Times New Roman"/>
          <w:sz w:val="28"/>
          <w:szCs w:val="28"/>
        </w:rPr>
        <w:t>в соответствии с законодательством о рынке ценных бумаг и обеспечения оптимальных ценовых и качественных параметров заимствований.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36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36">
        <w:rPr>
          <w:rFonts w:ascii="Times New Roman" w:hAnsi="Times New Roman" w:cs="Times New Roman"/>
          <w:sz w:val="28"/>
          <w:szCs w:val="28"/>
        </w:rPr>
        <w:t xml:space="preserve">Начало оказания услуг </w:t>
      </w:r>
      <w:r w:rsidR="00EF5A6B" w:rsidRPr="000119E3">
        <w:rPr>
          <w:rFonts w:ascii="Times New Roman" w:hAnsi="Times New Roman" w:cs="Times New Roman"/>
          <w:sz w:val="28"/>
          <w:szCs w:val="28"/>
        </w:rPr>
        <w:t>–</w:t>
      </w:r>
      <w:r w:rsidRPr="005B4236">
        <w:rPr>
          <w:rFonts w:ascii="Times New Roman" w:hAnsi="Times New Roman" w:cs="Times New Roman"/>
          <w:sz w:val="28"/>
          <w:szCs w:val="28"/>
        </w:rPr>
        <w:t xml:space="preserve"> с даты подписания договора.</w:t>
      </w:r>
    </w:p>
    <w:p w:rsidR="0045229D" w:rsidRPr="005B4236" w:rsidRDefault="0045229D" w:rsidP="0045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9E3">
        <w:rPr>
          <w:rFonts w:ascii="Times New Roman" w:hAnsi="Times New Roman" w:cs="Times New Roman"/>
          <w:sz w:val="28"/>
          <w:szCs w:val="28"/>
        </w:rPr>
        <w:t xml:space="preserve">Окончание оказания услуг – </w:t>
      </w:r>
      <w:r w:rsidR="00C8586F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5B4990" w:rsidRPr="000119E3">
        <w:rPr>
          <w:rFonts w:ascii="Times New Roman" w:hAnsi="Times New Roman" w:cs="Times New Roman"/>
          <w:sz w:val="28"/>
          <w:szCs w:val="28"/>
        </w:rPr>
        <w:t>5</w:t>
      </w:r>
      <w:r w:rsidRPr="000119E3">
        <w:rPr>
          <w:rFonts w:ascii="Times New Roman" w:hAnsi="Times New Roman" w:cs="Times New Roman"/>
          <w:sz w:val="28"/>
          <w:szCs w:val="28"/>
        </w:rPr>
        <w:t xml:space="preserve"> (</w:t>
      </w:r>
      <w:r w:rsidR="005B4990" w:rsidRPr="000119E3">
        <w:rPr>
          <w:rFonts w:ascii="Times New Roman" w:hAnsi="Times New Roman" w:cs="Times New Roman"/>
          <w:sz w:val="28"/>
          <w:szCs w:val="28"/>
        </w:rPr>
        <w:t>Пять</w:t>
      </w:r>
      <w:r w:rsidRPr="000119E3">
        <w:rPr>
          <w:rFonts w:ascii="Times New Roman" w:hAnsi="Times New Roman" w:cs="Times New Roman"/>
          <w:sz w:val="28"/>
          <w:szCs w:val="28"/>
        </w:rPr>
        <w:t xml:space="preserve">) </w:t>
      </w:r>
      <w:r w:rsidR="005B4990" w:rsidRPr="000119E3">
        <w:rPr>
          <w:rFonts w:ascii="Times New Roman" w:hAnsi="Times New Roman" w:cs="Times New Roman"/>
          <w:sz w:val="28"/>
          <w:szCs w:val="28"/>
        </w:rPr>
        <w:t>лет</w:t>
      </w:r>
      <w:r w:rsidRPr="000119E3">
        <w:rPr>
          <w:rFonts w:ascii="Times New Roman" w:hAnsi="Times New Roman" w:cs="Times New Roman"/>
          <w:sz w:val="28"/>
          <w:szCs w:val="28"/>
        </w:rPr>
        <w:t xml:space="preserve"> с даты подписания договора.</w:t>
      </w:r>
    </w:p>
    <w:p w:rsidR="0045229D" w:rsidRPr="005B4236" w:rsidRDefault="00460404" w:rsidP="00452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36">
        <w:rPr>
          <w:rFonts w:ascii="Times New Roman" w:hAnsi="Times New Roman" w:cs="Times New Roman"/>
          <w:sz w:val="28"/>
          <w:szCs w:val="28"/>
        </w:rPr>
        <w:t xml:space="preserve">Место оказания услуг: </w:t>
      </w:r>
      <w:r w:rsidR="001E625D" w:rsidRPr="005B4236">
        <w:rPr>
          <w:rFonts w:ascii="Times New Roman" w:hAnsi="Times New Roman" w:cs="Times New Roman"/>
          <w:sz w:val="28"/>
          <w:szCs w:val="28"/>
        </w:rPr>
        <w:t>т</w:t>
      </w:r>
      <w:r w:rsidRPr="005B4236">
        <w:rPr>
          <w:rFonts w:ascii="Times New Roman" w:hAnsi="Times New Roman" w:cs="Times New Roman"/>
          <w:sz w:val="28"/>
          <w:szCs w:val="28"/>
        </w:rPr>
        <w:t>ерритория Российской Федерации.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229D" w:rsidRPr="005B4236" w:rsidRDefault="0045229D" w:rsidP="0045229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36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:rsidR="0045229D" w:rsidRPr="005B4236" w:rsidRDefault="0045229D" w:rsidP="004522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5.1.</w:t>
      </w:r>
      <w:r w:rsidRPr="00650458">
        <w:rPr>
          <w:rFonts w:ascii="Times New Roman" w:hAnsi="Times New Roman" w:cs="Times New Roman"/>
          <w:sz w:val="28"/>
          <w:szCs w:val="28"/>
        </w:rPr>
        <w:tab/>
        <w:t xml:space="preserve">Организатор </w:t>
      </w:r>
      <w:r w:rsidR="00A26899">
        <w:rPr>
          <w:rFonts w:ascii="Times New Roman" w:hAnsi="Times New Roman" w:cs="Times New Roman"/>
          <w:sz w:val="28"/>
          <w:szCs w:val="28"/>
        </w:rPr>
        <w:t>предоставляет</w:t>
      </w:r>
      <w:r w:rsidRPr="00650458">
        <w:rPr>
          <w:rFonts w:ascii="Times New Roman" w:hAnsi="Times New Roman" w:cs="Times New Roman"/>
          <w:sz w:val="28"/>
          <w:szCs w:val="28"/>
        </w:rPr>
        <w:t xml:space="preserve"> Эмитенту следующие Услуги: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5.1.1. Услуги по организации размещения выпуска облигаций:</w:t>
      </w:r>
    </w:p>
    <w:p w:rsidR="00A4631A" w:rsidRPr="00A4631A" w:rsidRDefault="003A7A59" w:rsidP="00A4631A">
      <w:pPr>
        <w:numPr>
          <w:ilvl w:val="2"/>
          <w:numId w:val="3"/>
        </w:numPr>
        <w:tabs>
          <w:tab w:val="clear" w:pos="2160"/>
          <w:tab w:val="num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4631A" w:rsidRPr="00A4631A">
        <w:rPr>
          <w:rFonts w:ascii="Times New Roman" w:eastAsia="Times New Roman" w:hAnsi="Times New Roman"/>
          <w:sz w:val="28"/>
          <w:szCs w:val="28"/>
          <w:lang w:eastAsia="ru-RU"/>
        </w:rPr>
        <w:t>азработка рекомендаций относительно концепции (структуры и параметров) каждого отдельного выпуска облигаций, размещаемого в рамках Программы облигаций;</w:t>
      </w:r>
    </w:p>
    <w:p w:rsidR="00A4631A" w:rsidRPr="00A4631A" w:rsidRDefault="003A7A59" w:rsidP="00A4631A">
      <w:pPr>
        <w:numPr>
          <w:ilvl w:val="2"/>
          <w:numId w:val="3"/>
        </w:numPr>
        <w:tabs>
          <w:tab w:val="clear" w:pos="2160"/>
          <w:tab w:val="num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4631A" w:rsidRPr="00A4631A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облигаций, их размещения, обращения, в том числе предоставление консультаций при раскрытии информации на этапах процедуры эмиссии облигаций и помощь в подготовке соответствующих информационных сообщений; </w:t>
      </w:r>
    </w:p>
    <w:p w:rsidR="00A4631A" w:rsidRPr="00A4631A" w:rsidRDefault="003A7A59" w:rsidP="00A4631A">
      <w:pPr>
        <w:numPr>
          <w:ilvl w:val="2"/>
          <w:numId w:val="3"/>
        </w:numPr>
        <w:tabs>
          <w:tab w:val="clear" w:pos="2160"/>
          <w:tab w:val="num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A4631A" w:rsidRPr="00A4631A">
        <w:rPr>
          <w:rFonts w:ascii="Times New Roman" w:eastAsia="Times New Roman" w:hAnsi="Times New Roman"/>
          <w:sz w:val="28"/>
          <w:szCs w:val="28"/>
          <w:lang w:eastAsia="ru-RU"/>
        </w:rPr>
        <w:t xml:space="preserve">одготовка проектов эмиссионных документов, необходимых для выпуска и дальнейшего размещения и обращения облигаций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Программы облигаций, </w:t>
      </w:r>
      <w:r w:rsidR="00A4631A" w:rsidRPr="00A4631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A4631A" w:rsidRPr="00A4631A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="00A4631A" w:rsidRPr="00A4631A">
        <w:rPr>
          <w:rFonts w:ascii="Times New Roman" w:eastAsia="Times New Roman" w:hAnsi="Times New Roman"/>
          <w:sz w:val="28"/>
          <w:szCs w:val="28"/>
          <w:lang w:eastAsia="ru-RU"/>
        </w:rPr>
        <w:t>., но не ограничиваясь:</w:t>
      </w:r>
    </w:p>
    <w:p w:rsidR="00A4631A" w:rsidRPr="00A4631A" w:rsidRDefault="00A4631A" w:rsidP="00A4631A">
      <w:pPr>
        <w:numPr>
          <w:ilvl w:val="2"/>
          <w:numId w:val="4"/>
        </w:numPr>
        <w:tabs>
          <w:tab w:val="num" w:pos="2370"/>
        </w:tabs>
        <w:spacing w:after="0" w:line="240" w:lineRule="auto"/>
        <w:ind w:hanging="3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31A">
        <w:rPr>
          <w:rFonts w:ascii="Times New Roman" w:eastAsia="Times New Roman" w:hAnsi="Times New Roman"/>
          <w:sz w:val="28"/>
          <w:szCs w:val="28"/>
          <w:lang w:eastAsia="ru-RU"/>
        </w:rPr>
        <w:t>заявление Эмитента;</w:t>
      </w:r>
    </w:p>
    <w:p w:rsidR="00A4631A" w:rsidRPr="00A4631A" w:rsidRDefault="00A4631A" w:rsidP="00A4631A">
      <w:pPr>
        <w:numPr>
          <w:ilvl w:val="2"/>
          <w:numId w:val="4"/>
        </w:numPr>
        <w:tabs>
          <w:tab w:val="num" w:pos="2370"/>
        </w:tabs>
        <w:spacing w:after="0" w:line="240" w:lineRule="auto"/>
        <w:ind w:hanging="3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31A">
        <w:rPr>
          <w:rFonts w:ascii="Times New Roman" w:eastAsia="Times New Roman" w:hAnsi="Times New Roman"/>
          <w:sz w:val="28"/>
          <w:szCs w:val="28"/>
          <w:lang w:eastAsia="ru-RU"/>
        </w:rPr>
        <w:t>решение о размещении облигаций;</w:t>
      </w:r>
    </w:p>
    <w:p w:rsidR="00A4631A" w:rsidRPr="00A4631A" w:rsidRDefault="00A4631A" w:rsidP="00A4631A">
      <w:pPr>
        <w:numPr>
          <w:ilvl w:val="2"/>
          <w:numId w:val="4"/>
        </w:numPr>
        <w:tabs>
          <w:tab w:val="num" w:pos="2370"/>
        </w:tabs>
        <w:spacing w:after="0" w:line="240" w:lineRule="auto"/>
        <w:ind w:hanging="3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31A">
        <w:rPr>
          <w:rFonts w:ascii="Times New Roman" w:eastAsia="Times New Roman" w:hAnsi="Times New Roman"/>
          <w:sz w:val="28"/>
          <w:szCs w:val="28"/>
          <w:lang w:eastAsia="ru-RU"/>
        </w:rPr>
        <w:t>решение о выпуске ценных бумаг</w:t>
      </w:r>
    </w:p>
    <w:p w:rsidR="00A4631A" w:rsidRPr="00A4631A" w:rsidRDefault="00A4631A" w:rsidP="00A4631A">
      <w:pPr>
        <w:numPr>
          <w:ilvl w:val="2"/>
          <w:numId w:val="4"/>
        </w:numPr>
        <w:tabs>
          <w:tab w:val="num" w:pos="2370"/>
        </w:tabs>
        <w:spacing w:after="0" w:line="240" w:lineRule="auto"/>
        <w:ind w:hanging="3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31A">
        <w:rPr>
          <w:rFonts w:ascii="Times New Roman" w:eastAsia="Times New Roman" w:hAnsi="Times New Roman"/>
          <w:sz w:val="28"/>
          <w:szCs w:val="28"/>
          <w:lang w:eastAsia="ru-RU"/>
        </w:rPr>
        <w:t>документ содержащий условия размещения;</w:t>
      </w:r>
    </w:p>
    <w:p w:rsidR="003C71D7" w:rsidRPr="0092366A" w:rsidRDefault="00A4631A" w:rsidP="009236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31A">
        <w:rPr>
          <w:rFonts w:ascii="Times New Roman" w:hAnsi="Times New Roman" w:cs="Times New Roman"/>
          <w:sz w:val="28"/>
          <w:szCs w:val="28"/>
        </w:rPr>
        <w:t>Срок подготовки составляет не более 10 (Десяти) рабочих дней с момента предоставления Эмитентом всей необходимой в рамках Программы облигаций информации</w:t>
      </w:r>
      <w:r w:rsidR="003A7A59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3A7A59" w:rsidRPr="003A7A59">
        <w:rPr>
          <w:rFonts w:ascii="Times New Roman" w:hAnsi="Times New Roman" w:cs="Times New Roman"/>
          <w:sz w:val="28"/>
          <w:szCs w:val="28"/>
        </w:rPr>
        <w:t>Техническим заданием.</w:t>
      </w:r>
    </w:p>
    <w:p w:rsidR="003A7A59" w:rsidRP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  Взаимодействие с инфраструктурными организациями в части совершения действий, необходимых для определения параметров и условий отдельных выпусков, размещения облигаций и их вторичного обращения на организованном рынке ценных бумаг, а также для организации первичного размещения облигаций;</w:t>
      </w:r>
    </w:p>
    <w:p w:rsidR="003A7A59" w:rsidRP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  Подготовка прогноза возможного формирования доходности каждого выпуска облигаций, размещаемого в рамках Программы облигаций, после допуска соответствующего выпуска к размещению;</w:t>
      </w:r>
    </w:p>
    <w:p w:rsidR="003A7A59" w:rsidRP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  Подготовка по запросу Эмитента проектов презентационных и иных материалов, в том числе инвестиционного меморандума облигационного займа в целях распространения вышеуказанных материалов среди потенциальных инвесторов;</w:t>
      </w:r>
    </w:p>
    <w:p w:rsid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  Организация переговоров и представление Эмитента в процессе переговоров с потенциальными инвесторами;</w:t>
      </w:r>
    </w:p>
    <w:p w:rsidR="003A7A59" w:rsidRP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редоставление рекомендаций Эмитенту о назначении даты размещений каждого выпуска облигаций, размещаемого в рамках Программы облигаций. Рекомендации должны быть представлены не позднее 15 (Пятнадцати) рабочих дней до даты размещений каждого выпуска облигаций, размещаемого в рамках Программы облигаций;</w:t>
      </w:r>
    </w:p>
    <w:p w:rsidR="003A7A59" w:rsidRP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  Предоставление рекомендаций Эмитенту о ставке первого купона каждого выпуска облигаций, размещаемого в рамках Программы облигаций, не позднее 5 (Пяти) календарных дней до даты его размещения;</w:t>
      </w:r>
    </w:p>
    <w:p w:rsidR="003A7A59" w:rsidRPr="00942E47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Предоставление </w:t>
      </w:r>
      <w:r w:rsidR="0007043A"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гарантий выкупа нереализованных в ходе размещения ценных бумаг на согласованных Сторонами условиях</w:t>
      </w:r>
      <w:r w:rsidR="000E4E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043A"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минимальном гарантированном объеме 6 </w:t>
      </w:r>
      <w:r w:rsidR="00EF5A6B" w:rsidRPr="00EF5A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000 000 000 (</w:t>
      </w:r>
      <w:r w:rsidR="00EF5A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Шесть</w:t>
      </w:r>
      <w:r w:rsidR="00EF5A6B" w:rsidRPr="00EF5A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миллиардов) рублей 00 копеек</w:t>
      </w:r>
      <w:r w:rsidR="0007043A"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каждому выпуску (но не более фактического объема выпуска, определенного Эмитентом для Организатора</w:t>
      </w:r>
      <w:r w:rsidR="00EF5A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A074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F2ADC" w:rsidRPr="005F2A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043A"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Установленный объем Гарантии выкупа подлежит уменьшению на величину номинальной стоимости Облигаций, приобретенных инвесторами, привлеченными Организатором в дату размещения, а также на величину номинальной стоимости Облигаций, указанных в предварительных заявках инвесторов на приобретение Облигаций по ставке не более Ставки выкупа, направленных Эмитенту через Организатора </w:t>
      </w:r>
      <w:r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этапе </w:t>
      </w:r>
      <w:r w:rsidR="005E273F"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формирования книги заявок</w:t>
      </w:r>
      <w:r w:rsidRPr="00942E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которые не были акцептованы Эмитентом. </w:t>
      </w:r>
    </w:p>
    <w:p w:rsidR="003A7A59" w:rsidRPr="003A7A59" w:rsidRDefault="003A7A59" w:rsidP="003A7A59">
      <w:pPr>
        <w:tabs>
          <w:tab w:val="num" w:pos="1080"/>
          <w:tab w:val="num" w:pos="14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онсультировать по подготовке документации, необходимой для допуска Облигаций к размещению в ПАО Московская биржа  (далее – «Биржа») и для принятия их на обслуживание в Небанковской кредитной организации акционерное общество «Национальный расчетный депозитарий» (далее – «НРД») (такое содействие может, в зависимости от сложности или объема предстоящего размещения Облигаций, конкретного документа, иных фактических обстоятельств, принимать различные формы, такие как предоставление образцов документов, комментирование полученных от Эмитента документов, организация взаимодействия с другими профессиональными консультантами, вовлеченными в подготовку документов);</w:t>
      </w:r>
    </w:p>
    <w:p w:rsidR="003A7A59" w:rsidRPr="003A7A59" w:rsidRDefault="003A7A59" w:rsidP="003A7A5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онсультировать в отношении раскрытия информации о выпуске Облигаций в соответствии с действующим законодательством Российской Федерации;</w:t>
      </w:r>
    </w:p>
    <w:p w:rsidR="003A7A59" w:rsidRPr="003A7A59" w:rsidRDefault="003A7A59" w:rsidP="003A7A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</w:t>
      </w: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рганизовать прием и учет заявок от потенциальных инвесторов на приобретение Облигаций (в рамках проводимого конкурса или процедуры формирования книги заявок) и направление им ответов Эмитента в отношении таких заявок;</w:t>
      </w:r>
    </w:p>
    <w:p w:rsidR="003A7A59" w:rsidRPr="003A7A59" w:rsidRDefault="003A7A59" w:rsidP="003A7A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59">
        <w:rPr>
          <w:rFonts w:ascii="Times New Roman" w:eastAsia="Times New Roman" w:hAnsi="Times New Roman"/>
          <w:sz w:val="28"/>
          <w:szCs w:val="28"/>
          <w:lang w:eastAsia="ru-RU"/>
        </w:rPr>
        <w:t>- Осуществлять иные действия, необходимые для исполнения своих обязательств по Договору.</w:t>
      </w:r>
    </w:p>
    <w:p w:rsidR="00B069F6" w:rsidRPr="00650458" w:rsidRDefault="00B069F6" w:rsidP="00A72FB4">
      <w:pPr>
        <w:tabs>
          <w:tab w:val="left" w:pos="567"/>
        </w:tabs>
        <w:spacing w:before="120" w:after="0" w:line="240" w:lineRule="auto"/>
        <w:ind w:firstLine="709"/>
        <w:contextualSpacing/>
        <w:jc w:val="both"/>
      </w:pPr>
      <w:r w:rsidRPr="00650458">
        <w:rPr>
          <w:rFonts w:ascii="Times New Roman" w:hAnsi="Times New Roman"/>
          <w:sz w:val="28"/>
          <w:szCs w:val="28"/>
        </w:rPr>
        <w:t>5.2 Услуги не подразумевают под собой принятие каких-либо коммерческих решений от имени Эмитента или потенциальных инвесторов в отношении размещения Облигаций. Услуги не включают в себя правовые, бухгалтерские, налоговые или аудиторские услуги, а также услуги финансового консультанта, как это определено в Федеральном законе от 22 апреля 1996 года №39-ФЗ «О рынке ценных бумаг».</w:t>
      </w:r>
      <w:r w:rsidR="003A7A59">
        <w:rPr>
          <w:rFonts w:ascii="Times New Roman" w:hAnsi="Times New Roman"/>
          <w:sz w:val="28"/>
          <w:szCs w:val="28"/>
        </w:rPr>
        <w:t xml:space="preserve"> </w:t>
      </w:r>
      <w:r w:rsidR="003A7A59" w:rsidRPr="00E83823">
        <w:rPr>
          <w:rFonts w:ascii="Times New Roman" w:hAnsi="Times New Roman"/>
          <w:sz w:val="28"/>
          <w:szCs w:val="28"/>
        </w:rPr>
        <w:t xml:space="preserve">Организатор не осуществляет деятельность по инвестиционному консультированию Эмитента и не предоставляет ему индивидуальные инвестиционные рекомендации, как это определено в Законе. 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5.3 Услуги оказываются Организатором Эмитенту на неисключительной основе, и не ограничивают права Организатора на предоставление аналогичных услуг третьим лицам.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5.4. Совместные обязанности Сторон: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 xml:space="preserve">5.4.1. за исключением случаев, когда раскрытие информации должно быть осуществлено в соответствии с требованиями применимого законодательства, согласовывать любые публичные мероприятия, публикации в средствах массовой информации, в том числе электронных, имеющие своей целью раскрытие информации и привлечение инвесторов к участию в приобретении Облигаций при размещении; 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5.4.2 согласовать дату начала размещения Облигаций (с учетом того, что она не может наступить раньше истечения установленного в законодательстве срока после даты ее официального раскрытия Эмитентом), в случае ее последующего переноса или отмены – согласовать новую дату;</w:t>
      </w:r>
    </w:p>
    <w:p w:rsidR="00B069F6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 xml:space="preserve">5.4.3. до даты начала размещения Облигаций согласовать максимальную процентную ставку </w:t>
      </w:r>
      <w:r w:rsidRPr="008F3822">
        <w:rPr>
          <w:rFonts w:ascii="Times New Roman" w:hAnsi="Times New Roman" w:cs="Times New Roman"/>
          <w:sz w:val="28"/>
          <w:szCs w:val="28"/>
        </w:rPr>
        <w:t>по первому купону Облигаций</w:t>
      </w:r>
      <w:r w:rsidRPr="0065045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0458">
        <w:rPr>
          <w:rFonts w:ascii="Times New Roman" w:hAnsi="Times New Roman" w:cs="Times New Roman"/>
          <w:sz w:val="28"/>
          <w:szCs w:val="28"/>
        </w:rPr>
        <w:t xml:space="preserve">«Максимальная </w:t>
      </w:r>
      <w:r w:rsidRPr="00650458">
        <w:rPr>
          <w:rFonts w:ascii="Times New Roman" w:hAnsi="Times New Roman" w:cs="Times New Roman"/>
          <w:sz w:val="28"/>
          <w:szCs w:val="28"/>
        </w:rPr>
        <w:lastRenderedPageBreak/>
        <w:t>ставка»)</w:t>
      </w:r>
      <w:r w:rsidR="00E65F2E">
        <w:rPr>
          <w:rFonts w:ascii="Times New Roman" w:hAnsi="Times New Roman" w:cs="Times New Roman"/>
          <w:sz w:val="28"/>
          <w:szCs w:val="28"/>
        </w:rPr>
        <w:t xml:space="preserve"> </w:t>
      </w:r>
      <w:r w:rsidR="0081287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65F2E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01502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E65F2E">
        <w:rPr>
          <w:rFonts w:ascii="Times New Roman" w:hAnsi="Times New Roman" w:cs="Times New Roman"/>
          <w:sz w:val="28"/>
          <w:szCs w:val="28"/>
        </w:rPr>
        <w:t>письма</w:t>
      </w:r>
      <w:r w:rsidR="0081287B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Pr="006504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6153" w:rsidRDefault="00086153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Н</w:t>
      </w:r>
      <w:r w:rsidRPr="00086153">
        <w:rPr>
          <w:rFonts w:ascii="Times New Roman" w:hAnsi="Times New Roman" w:cs="Times New Roman"/>
          <w:sz w:val="28"/>
          <w:szCs w:val="28"/>
        </w:rPr>
        <w:t xml:space="preserve">епосредственно перед началом </w:t>
      </w:r>
      <w:r w:rsidR="005E273F">
        <w:rPr>
          <w:rFonts w:ascii="Times New Roman" w:hAnsi="Times New Roman" w:cs="Times New Roman"/>
          <w:sz w:val="28"/>
          <w:szCs w:val="28"/>
        </w:rPr>
        <w:t>формирования книги заявок</w:t>
      </w:r>
      <w:r w:rsidRPr="00086153">
        <w:rPr>
          <w:rFonts w:ascii="Times New Roman" w:hAnsi="Times New Roman" w:cs="Times New Roman"/>
          <w:sz w:val="28"/>
          <w:szCs w:val="28"/>
        </w:rPr>
        <w:t xml:space="preserve"> по электронной почте согласовать ставку исполнения Гарантии выкупа («Ставка выкупа»);</w:t>
      </w:r>
    </w:p>
    <w:p w:rsidR="00086153" w:rsidRPr="00650458" w:rsidRDefault="00086153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5.4.5. </w:t>
      </w:r>
      <w:r w:rsidRPr="00086153">
        <w:rPr>
          <w:rFonts w:ascii="Times New Roman" w:hAnsi="Times New Roman" w:cs="Times New Roman"/>
          <w:sz w:val="28"/>
          <w:szCs w:val="28"/>
        </w:rPr>
        <w:t>Организатор вправе отказаться от исполнения Услуг в отношении</w:t>
      </w:r>
      <w:r w:rsidR="0020022F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Pr="00086153">
        <w:rPr>
          <w:rFonts w:ascii="Times New Roman" w:hAnsi="Times New Roman" w:cs="Times New Roman"/>
          <w:sz w:val="28"/>
          <w:szCs w:val="28"/>
        </w:rPr>
        <w:t xml:space="preserve"> выпуска Облигаций в случае, если (а) дата начала размещения Облигаций была установлена Эмитентом без его согласия и/или (б) Стороны не смогли прийти к согласию в отношении величины Максимальной ставки.</w:t>
      </w:r>
    </w:p>
    <w:p w:rsidR="00B069F6" w:rsidRPr="00650458" w:rsidRDefault="00B069F6" w:rsidP="00705BB6">
      <w:pPr>
        <w:tabs>
          <w:tab w:val="left" w:pos="567"/>
        </w:tabs>
        <w:spacing w:before="120" w:after="0" w:line="240" w:lineRule="auto"/>
        <w:ind w:firstLine="567"/>
        <w:jc w:val="both"/>
      </w:pPr>
      <w:r w:rsidRPr="00650458">
        <w:rPr>
          <w:rFonts w:ascii="Times New Roman" w:hAnsi="Times New Roman"/>
          <w:sz w:val="28"/>
          <w:szCs w:val="28"/>
        </w:rPr>
        <w:t>5.5. Организатор обязуется</w:t>
      </w:r>
      <w:r>
        <w:rPr>
          <w:rFonts w:ascii="Times New Roman" w:hAnsi="Times New Roman"/>
          <w:sz w:val="28"/>
          <w:szCs w:val="28"/>
        </w:rPr>
        <w:t>:</w:t>
      </w:r>
      <w:r w:rsidRPr="00650458">
        <w:rPr>
          <w:rFonts w:ascii="Times New Roman" w:hAnsi="Times New Roman"/>
          <w:sz w:val="28"/>
          <w:szCs w:val="28"/>
        </w:rPr>
        <w:t xml:space="preserve"> (а) своевременно уведомлять Эмитента об обстоятельствах, препятствующих исполнению его обязанностей</w:t>
      </w:r>
      <w:r>
        <w:rPr>
          <w:rFonts w:ascii="Times New Roman" w:hAnsi="Times New Roman"/>
          <w:sz w:val="28"/>
          <w:szCs w:val="28"/>
        </w:rPr>
        <w:t>,</w:t>
      </w:r>
      <w:r w:rsidRPr="00650458">
        <w:rPr>
          <w:rFonts w:ascii="Times New Roman" w:hAnsi="Times New Roman"/>
          <w:sz w:val="28"/>
          <w:szCs w:val="28"/>
        </w:rPr>
        <w:t xml:space="preserve"> и (б) соблюда</w:t>
      </w:r>
      <w:r w:rsidR="00E65F2E">
        <w:rPr>
          <w:rFonts w:ascii="Times New Roman" w:hAnsi="Times New Roman"/>
          <w:sz w:val="28"/>
          <w:szCs w:val="28"/>
        </w:rPr>
        <w:t xml:space="preserve">ть </w:t>
      </w:r>
      <w:r w:rsidR="0020022F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</w:t>
      </w:r>
      <w:r w:rsidR="0020022F" w:rsidRPr="00B04C43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конфиденциальности</w:t>
      </w:r>
      <w:r w:rsidR="0020022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0022F" w:rsidRPr="00B04C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22F" w:rsidRPr="00B04C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изложенные в п 6.4. настоящего Технического задания.</w:t>
      </w:r>
    </w:p>
    <w:p w:rsidR="00B069F6" w:rsidRPr="00650458" w:rsidRDefault="00B069F6" w:rsidP="00A72FB4">
      <w:pPr>
        <w:pStyle w:val="ac"/>
        <w:tabs>
          <w:tab w:val="clear" w:pos="4153"/>
          <w:tab w:val="left" w:pos="567"/>
          <w:tab w:val="center" w:pos="1418"/>
        </w:tabs>
        <w:ind w:firstLine="851"/>
        <w:jc w:val="both"/>
      </w:pPr>
      <w:r w:rsidRPr="00650458">
        <w:rPr>
          <w:sz w:val="28"/>
          <w:szCs w:val="28"/>
        </w:rPr>
        <w:t xml:space="preserve">5.6. Организатор приложит все коммерчески разумные усилия для наиболее полного размещения Облигаций. </w:t>
      </w:r>
      <w:r w:rsidR="002E1301" w:rsidRPr="002E1301">
        <w:rPr>
          <w:sz w:val="28"/>
          <w:szCs w:val="28"/>
        </w:rPr>
        <w:t>При этом Эмитент соглашается и признает, что Организатор не гарантирует, что размещение произойдет, и не предоставляет какие-либо гарантии или заверения в отношении успешного завершения или удовлетворительных результатов размещения какого-либо выпуска Облигаций, равно как каких-либо экономических, финансовых и иных результатов, которые могут быть достигнуты или получены Эмитентом, или любым из акционеров/конечных бенефициаров Эмитента в результате размещения Облигаций.</w:t>
      </w:r>
    </w:p>
    <w:p w:rsidR="00B069F6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 xml:space="preserve">5.7. Организатор вправе публично и без ограничений раскрывать информацию о своем статусе организатора Облигаций с указанием объема Облигаций, в том числе для целей определения рейтинга организаторов в </w:t>
      </w:r>
      <w:proofErr w:type="spellStart"/>
      <w:r w:rsidRPr="00650458">
        <w:rPr>
          <w:rFonts w:ascii="Times New Roman" w:hAnsi="Times New Roman" w:cs="Times New Roman"/>
          <w:sz w:val="28"/>
          <w:szCs w:val="28"/>
        </w:rPr>
        <w:t>Сbonds</w:t>
      </w:r>
      <w:proofErr w:type="spellEnd"/>
      <w:r w:rsidRPr="00650458">
        <w:rPr>
          <w:rFonts w:ascii="Times New Roman" w:hAnsi="Times New Roman" w:cs="Times New Roman"/>
          <w:sz w:val="28"/>
          <w:szCs w:val="28"/>
        </w:rPr>
        <w:t xml:space="preserve"> и других информационных порталах. 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5.8.</w:t>
      </w:r>
      <w:r w:rsidRPr="00650458">
        <w:rPr>
          <w:rFonts w:ascii="Times New Roman" w:hAnsi="Times New Roman" w:cs="Times New Roman"/>
          <w:sz w:val="28"/>
          <w:szCs w:val="28"/>
        </w:rPr>
        <w:tab/>
        <w:t>Эмитент настоящим признает и соглашается с тем, что: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ab/>
        <w:t xml:space="preserve">(а) </w:t>
      </w:r>
      <w:r w:rsidRPr="00650458">
        <w:rPr>
          <w:rFonts w:ascii="Times New Roman" w:hAnsi="Times New Roman" w:cs="Times New Roman"/>
          <w:sz w:val="28"/>
          <w:szCs w:val="28"/>
        </w:rPr>
        <w:tab/>
        <w:t>Организатор вправе исполнять свои обязательства в той последовательности, которую он считает разумной и необходимой для целей их исполнения;</w:t>
      </w:r>
    </w:p>
    <w:p w:rsidR="00B069F6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ab/>
        <w:t>(б)</w:t>
      </w:r>
      <w:r w:rsidRPr="00650458">
        <w:rPr>
          <w:rFonts w:ascii="Times New Roman" w:hAnsi="Times New Roman" w:cs="Times New Roman"/>
          <w:sz w:val="28"/>
          <w:szCs w:val="28"/>
        </w:rPr>
        <w:tab/>
        <w:t>какие-либо советы, данные Эмитенту в рамках и для целей исполнения организации размещения облигаций, в том числе предоставленные Организатором Эмитенту консультации, как в устной форме, так и в письменной форме в виде соответствующих писем, докладов и т.д., относятся к Эмитенту и подлежат использованию исключительно Эмитентом для целей размещения Облигаций. Такие советы и консультации признаются конфиденциальной информацией, и не подлежат разглашению или передаче иным образом для использования третьим лицам без предварительного письменного согласия Организатора;</w:t>
      </w:r>
    </w:p>
    <w:p w:rsidR="00694A73" w:rsidRPr="00650458" w:rsidRDefault="00694A73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694A73">
        <w:rPr>
          <w:rFonts w:ascii="Times New Roman" w:hAnsi="Times New Roman" w:cs="Times New Roman"/>
          <w:sz w:val="28"/>
          <w:szCs w:val="28"/>
        </w:rPr>
        <w:t>Организатор от своего имени и за свой счет вправе привлекать к оказанию Услуг третьих лиц в качестве со-организаторов или участников размещения Облигаций, при этом (если иное не согласовано Сторонами) Организатор несет ответственность перед Эмитентом за их действия.</w:t>
      </w:r>
    </w:p>
    <w:p w:rsidR="00B069F6" w:rsidRPr="00650458" w:rsidRDefault="00B069F6" w:rsidP="00B06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5.</w:t>
      </w:r>
      <w:r w:rsidR="00694A73">
        <w:rPr>
          <w:rFonts w:ascii="Times New Roman" w:hAnsi="Times New Roman" w:cs="Times New Roman"/>
          <w:sz w:val="28"/>
          <w:szCs w:val="28"/>
        </w:rPr>
        <w:t>10</w:t>
      </w:r>
      <w:r w:rsidRPr="00650458">
        <w:rPr>
          <w:rFonts w:ascii="Times New Roman" w:hAnsi="Times New Roman" w:cs="Times New Roman"/>
          <w:sz w:val="28"/>
          <w:szCs w:val="28"/>
        </w:rPr>
        <w:t>.</w:t>
      </w:r>
      <w:r w:rsidRPr="00650458">
        <w:rPr>
          <w:rFonts w:ascii="Times New Roman" w:hAnsi="Times New Roman" w:cs="Times New Roman"/>
          <w:sz w:val="28"/>
          <w:szCs w:val="28"/>
        </w:rPr>
        <w:tab/>
        <w:t xml:space="preserve">Эмитент заверяет и гарантирует, что (а) вся информация, предоставляемая Организатору Эмитентом, его представителями или </w:t>
      </w:r>
      <w:r w:rsidRPr="00650458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консультантами, взятая в целом, является и будет точной и полной во всех существенных аспектах, и что такая информация не содержит никаких вводящих в заблуждение заявлений, и что в ней не упущено упоминание таких фактов, которые могут изменить или исказить какие-либо заявления, содержащиеся в такой информации, и (б) все предоставленные Организатору Эмитентом, его представителями или консультантами прогнозы подготовлены или будут подготовлены добросовестно и основываются на предположениях, которые Эмитент считает обоснованными. Организатор может использовать или полагаться на такую информацию (без дополнительной проверки), а также на общедоступные данные, касающиеся Эмитента, и не принимает на себя ответственность за независимую проверку какой-либо информации, общедоступной или предоставленной иным образом, касающейся Эмитента. </w:t>
      </w:r>
    </w:p>
    <w:p w:rsidR="0007043A" w:rsidRPr="009B208E" w:rsidRDefault="00B069F6" w:rsidP="00EF5849">
      <w:pPr>
        <w:pStyle w:val="ConsPlusNormal"/>
        <w:jc w:val="both"/>
        <w:rPr>
          <w:sz w:val="26"/>
          <w:szCs w:val="26"/>
        </w:rPr>
      </w:pPr>
      <w:r w:rsidRPr="00650458">
        <w:rPr>
          <w:rFonts w:ascii="Times New Roman" w:hAnsi="Times New Roman" w:cs="Times New Roman"/>
          <w:sz w:val="28"/>
          <w:szCs w:val="28"/>
        </w:rPr>
        <w:t>5.1</w:t>
      </w:r>
      <w:r w:rsidR="00694A73">
        <w:rPr>
          <w:rFonts w:ascii="Times New Roman" w:hAnsi="Times New Roman" w:cs="Times New Roman"/>
          <w:sz w:val="28"/>
          <w:szCs w:val="28"/>
        </w:rPr>
        <w:t>1</w:t>
      </w:r>
      <w:r w:rsidRPr="00650458">
        <w:rPr>
          <w:rFonts w:ascii="Times New Roman" w:hAnsi="Times New Roman" w:cs="Times New Roman"/>
          <w:sz w:val="28"/>
          <w:szCs w:val="28"/>
        </w:rPr>
        <w:t>.</w:t>
      </w:r>
      <w:r w:rsidRPr="00650458">
        <w:rPr>
          <w:rFonts w:ascii="Times New Roman" w:hAnsi="Times New Roman" w:cs="Times New Roman"/>
          <w:sz w:val="28"/>
          <w:szCs w:val="28"/>
        </w:rPr>
        <w:tab/>
        <w:t>Деятельность Организатора осуществляется при условии:</w:t>
      </w:r>
    </w:p>
    <w:p w:rsidR="0007043A" w:rsidRPr="0007043A" w:rsidRDefault="0007043A" w:rsidP="00A72F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43A">
        <w:rPr>
          <w:rFonts w:ascii="Times New Roman" w:eastAsia="Times New Roman" w:hAnsi="Times New Roman"/>
          <w:sz w:val="28"/>
          <w:szCs w:val="28"/>
          <w:lang w:eastAsia="ru-RU"/>
        </w:rPr>
        <w:t>(а)</w:t>
      </w:r>
      <w:r w:rsidRPr="0007043A">
        <w:rPr>
          <w:rFonts w:ascii="Times New Roman" w:eastAsia="Times New Roman" w:hAnsi="Times New Roman"/>
          <w:sz w:val="28"/>
          <w:szCs w:val="28"/>
          <w:lang w:eastAsia="ru-RU"/>
        </w:rPr>
        <w:tab/>
        <w:t>точности и полноты всех заверений и информации, предоставленных Эмитентом Организатору;</w:t>
      </w:r>
    </w:p>
    <w:p w:rsidR="0007043A" w:rsidRPr="0007043A" w:rsidRDefault="0007043A" w:rsidP="00A72F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43A">
        <w:rPr>
          <w:rFonts w:ascii="Times New Roman" w:eastAsia="Times New Roman" w:hAnsi="Times New Roman"/>
          <w:sz w:val="28"/>
          <w:szCs w:val="28"/>
          <w:lang w:eastAsia="ru-RU"/>
        </w:rPr>
        <w:tab/>
        <w:t>(б)</w:t>
      </w:r>
      <w:r w:rsidRPr="0007043A">
        <w:rPr>
          <w:rFonts w:ascii="Times New Roman" w:eastAsia="Times New Roman" w:hAnsi="Times New Roman"/>
          <w:sz w:val="28"/>
          <w:szCs w:val="28"/>
          <w:lang w:eastAsia="ru-RU"/>
        </w:rPr>
        <w:tab/>
        <w:t>отсутствия каких-либо существенных негативных изменений в экономической ситуации в РФ, сохранения стабильности на рынках долгового капитала и ценных бумаг РФ.</w:t>
      </w:r>
    </w:p>
    <w:p w:rsidR="00B069F6" w:rsidRDefault="0007043A" w:rsidP="00A72FB4">
      <w:pPr>
        <w:tabs>
          <w:tab w:val="left" w:pos="567"/>
        </w:tabs>
        <w:spacing w:after="0"/>
        <w:jc w:val="both"/>
      </w:pPr>
      <w:r w:rsidRPr="0007043A">
        <w:rPr>
          <w:rFonts w:ascii="Times New Roman" w:eastAsia="Times New Roman" w:hAnsi="Times New Roman"/>
          <w:sz w:val="28"/>
          <w:szCs w:val="28"/>
          <w:lang w:eastAsia="ru-RU"/>
        </w:rPr>
        <w:tab/>
        <w:t>В случае нарушения какого-либо из указанных условий, Организатор вправе приостановить оказание Услуг до тех пор, пока такое нарушение не будет устранено.</w:t>
      </w:r>
    </w:p>
    <w:p w:rsidR="00B069F6" w:rsidRPr="00650458" w:rsidRDefault="00B069F6" w:rsidP="00B069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:rsidR="00B069F6" w:rsidRPr="00650458" w:rsidRDefault="00B069F6" w:rsidP="00B069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:rsidR="00B069F6" w:rsidRPr="00650458" w:rsidRDefault="00B069F6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Не применимо.</w:t>
      </w:r>
    </w:p>
    <w:p w:rsidR="00B069F6" w:rsidRPr="00650458" w:rsidRDefault="00B069F6" w:rsidP="00B069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:rsidR="00B069F6" w:rsidRPr="00650458" w:rsidRDefault="00B069F6" w:rsidP="00B069F6">
      <w:pPr>
        <w:pStyle w:val="ConsPlusNormal"/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B069F6" w:rsidRPr="00650458" w:rsidRDefault="00B069F6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Не применимо.</w:t>
      </w:r>
    </w:p>
    <w:p w:rsidR="00B069F6" w:rsidRPr="00650458" w:rsidRDefault="00B069F6" w:rsidP="00B069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:rsidR="00B069F6" w:rsidRPr="00650458" w:rsidRDefault="00B069F6" w:rsidP="00B069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Не применимо.</w:t>
      </w:r>
    </w:p>
    <w:p w:rsidR="00B069F6" w:rsidRPr="00650458" w:rsidRDefault="00B069F6" w:rsidP="00B069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 xml:space="preserve"> Требования к конфиденциальности</w:t>
      </w:r>
    </w:p>
    <w:p w:rsidR="00B069F6" w:rsidRPr="00650458" w:rsidRDefault="00B069F6" w:rsidP="00B069F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9F6" w:rsidRPr="00FF54D7" w:rsidRDefault="00FF2B9B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4D7">
        <w:rPr>
          <w:rFonts w:ascii="Times New Roman" w:hAnsi="Times New Roman" w:cs="Times New Roman"/>
          <w:sz w:val="28"/>
          <w:szCs w:val="28"/>
        </w:rPr>
        <w:t xml:space="preserve">Содержание любых документов и иной информации, переданных одной из Сторон другой Стороне в связи с Договором является конфиденциальной информацией, которая не подлежит раскрытию третьим лицам без письменного согласия передавшей их Стороны, за исключением случаев, указанных </w:t>
      </w:r>
      <w:r w:rsidR="00FF54D7" w:rsidRPr="00FF54D7">
        <w:rPr>
          <w:rFonts w:ascii="Times New Roman" w:hAnsi="Times New Roman" w:cs="Times New Roman"/>
          <w:sz w:val="28"/>
          <w:szCs w:val="28"/>
        </w:rPr>
        <w:t>в Д</w:t>
      </w:r>
      <w:r w:rsidRPr="00FF54D7">
        <w:rPr>
          <w:rFonts w:ascii="Times New Roman" w:hAnsi="Times New Roman" w:cs="Times New Roman"/>
          <w:sz w:val="28"/>
          <w:szCs w:val="28"/>
        </w:rPr>
        <w:t>оговоре</w:t>
      </w:r>
      <w:r w:rsidR="005E273F" w:rsidRPr="00FF54D7">
        <w:rPr>
          <w:rFonts w:ascii="Times New Roman" w:hAnsi="Times New Roman" w:cs="Times New Roman"/>
          <w:sz w:val="28"/>
          <w:szCs w:val="28"/>
        </w:rPr>
        <w:t>.</w:t>
      </w:r>
    </w:p>
    <w:p w:rsidR="005E273F" w:rsidRPr="00650458" w:rsidRDefault="005E273F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 xml:space="preserve"> Требования по приемке услуг</w:t>
      </w:r>
    </w:p>
    <w:p w:rsidR="00B069F6" w:rsidRPr="00650458" w:rsidRDefault="00B069F6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B9B" w:rsidRPr="00FF54D7" w:rsidRDefault="00A26899" w:rsidP="00FF5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в течение </w:t>
      </w:r>
      <w:r w:rsidR="0020022F" w:rsidRPr="00650458">
        <w:rPr>
          <w:rFonts w:ascii="Times New Roman" w:hAnsi="Times New Roman" w:cs="Times New Roman"/>
          <w:sz w:val="28"/>
          <w:szCs w:val="28"/>
        </w:rPr>
        <w:t xml:space="preserve">5 (Пяти) </w:t>
      </w:r>
      <w:r w:rsidR="00FF2B9B" w:rsidRPr="00FF54D7">
        <w:rPr>
          <w:rFonts w:ascii="Times New Roman" w:hAnsi="Times New Roman" w:cs="Times New Roman"/>
          <w:sz w:val="28"/>
          <w:szCs w:val="28"/>
        </w:rPr>
        <w:t>рабочих дней с даты завершения размещения Облигаций каждого из выпусков в рамках Договора направляет в адрес Эмитента</w:t>
      </w:r>
      <w:r w:rsidR="0020022F">
        <w:rPr>
          <w:rFonts w:ascii="Times New Roman" w:hAnsi="Times New Roman" w:cs="Times New Roman"/>
          <w:sz w:val="28"/>
          <w:szCs w:val="28"/>
        </w:rPr>
        <w:t xml:space="preserve"> в </w:t>
      </w:r>
      <w:r w:rsidR="0020022F" w:rsidRPr="00650458">
        <w:rPr>
          <w:rFonts w:ascii="Times New Roman" w:hAnsi="Times New Roman" w:cs="Times New Roman"/>
          <w:sz w:val="28"/>
          <w:szCs w:val="28"/>
        </w:rPr>
        <w:t>2-х экземплярах</w:t>
      </w:r>
      <w:r w:rsidR="00FF2B9B" w:rsidRPr="00FF54D7">
        <w:rPr>
          <w:rFonts w:ascii="Times New Roman" w:hAnsi="Times New Roman" w:cs="Times New Roman"/>
          <w:sz w:val="28"/>
          <w:szCs w:val="28"/>
        </w:rPr>
        <w:t xml:space="preserve"> Акт об оказанных услугах</w:t>
      </w:r>
      <w:r>
        <w:rPr>
          <w:rFonts w:ascii="Times New Roman" w:hAnsi="Times New Roman" w:cs="Times New Roman"/>
          <w:sz w:val="28"/>
          <w:szCs w:val="28"/>
        </w:rPr>
        <w:t>, отчет об оказанных услугах</w:t>
      </w:r>
      <w:r w:rsidR="00FF2B9B" w:rsidRPr="00FF54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B9B" w:rsidRPr="00FF54D7" w:rsidRDefault="00FF2B9B" w:rsidP="00FF5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4D7">
        <w:rPr>
          <w:rFonts w:ascii="Times New Roman" w:hAnsi="Times New Roman" w:cs="Times New Roman"/>
          <w:sz w:val="28"/>
          <w:szCs w:val="28"/>
        </w:rPr>
        <w:t>По результатам рассмотрения Акта Эмитент в течение 15 (пятнадцати) рабочих дней с момента получения утверждает его или направляет мотивированный отказ от его подписания. Услуги считаются оказанными надлежащим образом с момента подписания Сторонами Акта.</w:t>
      </w:r>
    </w:p>
    <w:p w:rsidR="00B069F6" w:rsidRPr="00650458" w:rsidRDefault="00B069F6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:rsidR="00B069F6" w:rsidRPr="00650458" w:rsidRDefault="00B069F6" w:rsidP="00B069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>Не применимо.</w:t>
      </w:r>
    </w:p>
    <w:p w:rsidR="00B069F6" w:rsidRPr="00650458" w:rsidRDefault="00B069F6" w:rsidP="00B069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458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:rsidR="00B069F6" w:rsidRPr="00650458" w:rsidRDefault="00B069F6" w:rsidP="00B069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69F6" w:rsidRPr="00650458" w:rsidRDefault="00B069F6" w:rsidP="00B06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58">
        <w:rPr>
          <w:rFonts w:ascii="Times New Roman" w:hAnsi="Times New Roman" w:cs="Times New Roman"/>
          <w:sz w:val="28"/>
          <w:szCs w:val="28"/>
        </w:rPr>
        <w:t xml:space="preserve">Не применимо. </w:t>
      </w:r>
    </w:p>
    <w:p w:rsidR="00B069F6" w:rsidRPr="00187518" w:rsidRDefault="00B069F6" w:rsidP="00B069F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0404" w:rsidRPr="005B4236" w:rsidRDefault="00460404" w:rsidP="004604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60404" w:rsidRPr="005B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AD7"/>
    <w:multiLevelType w:val="hybridMultilevel"/>
    <w:tmpl w:val="78FCEB56"/>
    <w:lvl w:ilvl="0" w:tplc="8A021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8B892BA">
      <w:start w:val="1"/>
      <w:numFmt w:val="bullet"/>
      <w:lvlText w:val="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A17403"/>
    <w:multiLevelType w:val="hybridMultilevel"/>
    <w:tmpl w:val="C0AC0D0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B892BA">
      <w:start w:val="1"/>
      <w:numFmt w:val="bullet"/>
      <w:lvlText w:val="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7C"/>
    <w:rsid w:val="00004E2A"/>
    <w:rsid w:val="000119E3"/>
    <w:rsid w:val="0001502C"/>
    <w:rsid w:val="00045E00"/>
    <w:rsid w:val="00056648"/>
    <w:rsid w:val="0007043A"/>
    <w:rsid w:val="00086153"/>
    <w:rsid w:val="00093703"/>
    <w:rsid w:val="000A2095"/>
    <w:rsid w:val="000C09D1"/>
    <w:rsid w:val="000E4EA5"/>
    <w:rsid w:val="00131409"/>
    <w:rsid w:val="00142995"/>
    <w:rsid w:val="0016048D"/>
    <w:rsid w:val="001671EC"/>
    <w:rsid w:val="001761A3"/>
    <w:rsid w:val="00187518"/>
    <w:rsid w:val="0018773B"/>
    <w:rsid w:val="00187C58"/>
    <w:rsid w:val="001A47D3"/>
    <w:rsid w:val="001C3472"/>
    <w:rsid w:val="001D16AF"/>
    <w:rsid w:val="001E625D"/>
    <w:rsid w:val="0020022F"/>
    <w:rsid w:val="0020535B"/>
    <w:rsid w:val="00222F39"/>
    <w:rsid w:val="00242152"/>
    <w:rsid w:val="00277008"/>
    <w:rsid w:val="0027701D"/>
    <w:rsid w:val="00280972"/>
    <w:rsid w:val="002967B8"/>
    <w:rsid w:val="00297438"/>
    <w:rsid w:val="002D148B"/>
    <w:rsid w:val="002E1301"/>
    <w:rsid w:val="00321397"/>
    <w:rsid w:val="00326A70"/>
    <w:rsid w:val="003367FE"/>
    <w:rsid w:val="003407E7"/>
    <w:rsid w:val="00376794"/>
    <w:rsid w:val="003A7A59"/>
    <w:rsid w:val="003B3D73"/>
    <w:rsid w:val="003C5B70"/>
    <w:rsid w:val="003C71D7"/>
    <w:rsid w:val="003D5672"/>
    <w:rsid w:val="0041528F"/>
    <w:rsid w:val="0045229D"/>
    <w:rsid w:val="0045559E"/>
    <w:rsid w:val="00460404"/>
    <w:rsid w:val="004B3DFB"/>
    <w:rsid w:val="004E1B08"/>
    <w:rsid w:val="004E6A07"/>
    <w:rsid w:val="00500FF3"/>
    <w:rsid w:val="00520780"/>
    <w:rsid w:val="00521CCC"/>
    <w:rsid w:val="00565B50"/>
    <w:rsid w:val="00566D16"/>
    <w:rsid w:val="005A76B4"/>
    <w:rsid w:val="005B4236"/>
    <w:rsid w:val="005B4990"/>
    <w:rsid w:val="005B76D0"/>
    <w:rsid w:val="005C23B4"/>
    <w:rsid w:val="005E273F"/>
    <w:rsid w:val="005F01F8"/>
    <w:rsid w:val="005F2ADC"/>
    <w:rsid w:val="00625094"/>
    <w:rsid w:val="006461DB"/>
    <w:rsid w:val="00652FE4"/>
    <w:rsid w:val="0066367E"/>
    <w:rsid w:val="0067405A"/>
    <w:rsid w:val="00680E12"/>
    <w:rsid w:val="00685520"/>
    <w:rsid w:val="00694A73"/>
    <w:rsid w:val="006963D6"/>
    <w:rsid w:val="006A4FF3"/>
    <w:rsid w:val="006A504A"/>
    <w:rsid w:val="006A5A06"/>
    <w:rsid w:val="006C7EA7"/>
    <w:rsid w:val="00705BB6"/>
    <w:rsid w:val="0076315D"/>
    <w:rsid w:val="00782BC6"/>
    <w:rsid w:val="007A246C"/>
    <w:rsid w:val="007A3EC6"/>
    <w:rsid w:val="007B078E"/>
    <w:rsid w:val="007C6EC2"/>
    <w:rsid w:val="007D31B7"/>
    <w:rsid w:val="007E53AB"/>
    <w:rsid w:val="00803A30"/>
    <w:rsid w:val="0081287B"/>
    <w:rsid w:val="00837AEB"/>
    <w:rsid w:val="0086423F"/>
    <w:rsid w:val="008658F3"/>
    <w:rsid w:val="0087124D"/>
    <w:rsid w:val="00882D7C"/>
    <w:rsid w:val="008B65D9"/>
    <w:rsid w:val="008B7AE6"/>
    <w:rsid w:val="008C66BB"/>
    <w:rsid w:val="008D16AC"/>
    <w:rsid w:val="008E1D75"/>
    <w:rsid w:val="008E2A54"/>
    <w:rsid w:val="008F1DF8"/>
    <w:rsid w:val="008F32F1"/>
    <w:rsid w:val="008F3822"/>
    <w:rsid w:val="00906D30"/>
    <w:rsid w:val="0092366A"/>
    <w:rsid w:val="00927E24"/>
    <w:rsid w:val="00942A08"/>
    <w:rsid w:val="00942E47"/>
    <w:rsid w:val="00950D33"/>
    <w:rsid w:val="009607BC"/>
    <w:rsid w:val="00961C6D"/>
    <w:rsid w:val="00974079"/>
    <w:rsid w:val="00974446"/>
    <w:rsid w:val="00992879"/>
    <w:rsid w:val="009935AC"/>
    <w:rsid w:val="009B1F94"/>
    <w:rsid w:val="009C2C8D"/>
    <w:rsid w:val="009E734B"/>
    <w:rsid w:val="009F6EDE"/>
    <w:rsid w:val="00A0468C"/>
    <w:rsid w:val="00A0748E"/>
    <w:rsid w:val="00A20A75"/>
    <w:rsid w:val="00A2361E"/>
    <w:rsid w:val="00A26899"/>
    <w:rsid w:val="00A45506"/>
    <w:rsid w:val="00A4631A"/>
    <w:rsid w:val="00A508D3"/>
    <w:rsid w:val="00A72FB4"/>
    <w:rsid w:val="00AB1031"/>
    <w:rsid w:val="00B069F6"/>
    <w:rsid w:val="00B139BC"/>
    <w:rsid w:val="00B32320"/>
    <w:rsid w:val="00B437A5"/>
    <w:rsid w:val="00B7162C"/>
    <w:rsid w:val="00B96206"/>
    <w:rsid w:val="00B96F90"/>
    <w:rsid w:val="00BA270F"/>
    <w:rsid w:val="00BB3774"/>
    <w:rsid w:val="00BB6A9F"/>
    <w:rsid w:val="00BE0138"/>
    <w:rsid w:val="00BF24FB"/>
    <w:rsid w:val="00BF5ECF"/>
    <w:rsid w:val="00C0351A"/>
    <w:rsid w:val="00C33954"/>
    <w:rsid w:val="00C51F02"/>
    <w:rsid w:val="00C8586F"/>
    <w:rsid w:val="00CA56BB"/>
    <w:rsid w:val="00CB7270"/>
    <w:rsid w:val="00CC3180"/>
    <w:rsid w:val="00CC5564"/>
    <w:rsid w:val="00CC7FEC"/>
    <w:rsid w:val="00D028E2"/>
    <w:rsid w:val="00D30B3B"/>
    <w:rsid w:val="00D35F0B"/>
    <w:rsid w:val="00D378DD"/>
    <w:rsid w:val="00D62DD2"/>
    <w:rsid w:val="00D823DD"/>
    <w:rsid w:val="00DA31DF"/>
    <w:rsid w:val="00DA40C2"/>
    <w:rsid w:val="00DD1BEB"/>
    <w:rsid w:val="00DE5455"/>
    <w:rsid w:val="00DF51BE"/>
    <w:rsid w:val="00E16EF9"/>
    <w:rsid w:val="00E20170"/>
    <w:rsid w:val="00E563EF"/>
    <w:rsid w:val="00E57E27"/>
    <w:rsid w:val="00E6067E"/>
    <w:rsid w:val="00E65F2E"/>
    <w:rsid w:val="00E67090"/>
    <w:rsid w:val="00E83823"/>
    <w:rsid w:val="00EE07A5"/>
    <w:rsid w:val="00EF5849"/>
    <w:rsid w:val="00EF5A6B"/>
    <w:rsid w:val="00F217C2"/>
    <w:rsid w:val="00F30771"/>
    <w:rsid w:val="00F34CC8"/>
    <w:rsid w:val="00F46ACB"/>
    <w:rsid w:val="00F769DE"/>
    <w:rsid w:val="00F90D57"/>
    <w:rsid w:val="00FA1292"/>
    <w:rsid w:val="00FB4C9C"/>
    <w:rsid w:val="00FC6011"/>
    <w:rsid w:val="00FE1D0F"/>
    <w:rsid w:val="00FF2B9B"/>
    <w:rsid w:val="00FF2ED4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59E0-A46B-487C-B811-F13012F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9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4631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napToGrid w:val="0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2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AEB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563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63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63E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63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63EF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87518"/>
    <w:pPr>
      <w:ind w:left="720"/>
      <w:contextualSpacing/>
    </w:pPr>
  </w:style>
  <w:style w:type="table" w:styleId="ab">
    <w:name w:val="Table Grid"/>
    <w:basedOn w:val="a1"/>
    <w:uiPriority w:val="39"/>
    <w:rsid w:val="0018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4631A"/>
    <w:rPr>
      <w:rFonts w:ascii="Cambria" w:eastAsia="Times New Roman" w:hAnsi="Cambria" w:cs="Times New Roman"/>
      <w:b/>
      <w:bCs/>
      <w:snapToGrid w:val="0"/>
      <w:sz w:val="26"/>
      <w:szCs w:val="26"/>
      <w:lang w:val="en-US" w:eastAsia="ru-RU"/>
    </w:rPr>
  </w:style>
  <w:style w:type="paragraph" w:styleId="ac">
    <w:name w:val="header"/>
    <w:basedOn w:val="a"/>
    <w:link w:val="ad"/>
    <w:rsid w:val="002E130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2E1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6A4F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B1EE-8251-4AAE-911D-598A3D10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2331</Words>
  <Characters>13290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Сермавбрина Елена Сергеевна</dc:creator>
  <cp:keywords/>
  <dc:description/>
  <cp:lastModifiedBy>Захарова Елена Владиславовна</cp:lastModifiedBy>
  <cp:revision>2</cp:revision>
  <cp:lastPrinted>2019-01-30T15:27:00Z</cp:lastPrinted>
  <dcterms:created xsi:type="dcterms:W3CDTF">2026-06-04T05:13:00Z</dcterms:created>
  <dcterms:modified xsi:type="dcterms:W3CDTF">2026-06-04T05:13:00Z</dcterms:modified>
</cp:coreProperties>
</file>