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Первый заместитель Генерального директора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 главный инженер АО «Сахаэнерго»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___________________ /Копырин Н.М./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«____» ___________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sz w:val="26"/>
          <w:szCs w:val="26"/>
        </w:rPr>
        <w:t>«</w:t>
      </w:r>
      <w:r>
        <w:rPr>
          <w:rStyle w:val="Style13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>ОКПД2 — 86.21.10.120. Периодический медицинский осмотр работников АО «Сахаэнерго</w:t>
      </w:r>
      <w:r>
        <w:rPr>
          <w:rFonts w:eastAsia="Calibri"/>
          <w:color w:val="000000"/>
          <w:sz w:val="26"/>
          <w:szCs w:val="26"/>
        </w:rPr>
        <w:t>» Производственный</w:t>
      </w:r>
      <w:r>
        <w:rPr>
          <w:rFonts w:eastAsia="Calibri"/>
          <w:color w:val="000000"/>
          <w:sz w:val="26"/>
          <w:szCs w:val="26"/>
          <w:shd w:fill="auto" w:val="clear"/>
        </w:rPr>
        <w:t xml:space="preserve"> центр г. Якутск»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color w:themeColor="text1"/>
          <w:highlight w:val="none"/>
          <w:shd w:fill="auto" w:val="clear"/>
        </w:rPr>
      </w:pPr>
      <w:r>
        <w:rPr>
          <w:rFonts w:eastAsia="Calibri"/>
          <w:b/>
          <w:bCs/>
          <w:color w:val="000000" w:themeColor="text1"/>
          <w:sz w:val="26"/>
          <w:szCs w:val="26"/>
          <w:shd w:fill="auto" w:val="clear"/>
        </w:rPr>
        <w:t xml:space="preserve">Лот № </w:t>
      </w:r>
    </w:p>
    <w:p>
      <w:pPr>
        <w:pStyle w:val="Normal"/>
        <w:rPr>
          <w:rFonts w:eastAsia="Calibri"/>
          <w:b/>
          <w:bCs/>
          <w:color w:val="000000" w:themeColor="text1"/>
          <w:sz w:val="26"/>
          <w:szCs w:val="26"/>
          <w:shd w:fill="FFFF00" w:val="clear"/>
        </w:rPr>
      </w:pPr>
      <w:r>
        <w:rPr>
          <w:rFonts w:eastAsia="Calibri"/>
          <w:b/>
          <w:bCs/>
          <w:color w:val="000000" w:themeColor="text1"/>
          <w:sz w:val="26"/>
          <w:szCs w:val="26"/>
          <w:shd w:fill="FFFF00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br w:type="page"/>
          </w:r>
          <w:r>
            <w:rPr>
              <w:rFonts w:cs="Times New Roman" w:ascii="Times New Roman" w:hAnsi="Times New Roman"/>
              <w:sz w:val="24"/>
              <w:szCs w:val="24"/>
            </w:rPr>
            <w:t>Оглавление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r>
            <w:fldChar w:fldCharType="begin"/>
          </w:r>
          <w:r>
            <w:rPr>
              <w:webHidden/>
              <w:rStyle w:val="Style12"/>
              <w:sz w:val="24"/>
              <w:szCs w:val="24"/>
              <w:vanish w:val="false"/>
              <w:rFonts w:eastAsia="Tahoma"/>
            </w:rPr>
            <w:instrText xml:space="preserve"> TOC \z \o "1-3" \u \h</w:instrText>
          </w:r>
          <w:r>
            <w:rPr>
              <w:webHidden/>
              <w:rStyle w:val="Style12"/>
              <w:sz w:val="24"/>
              <w:szCs w:val="24"/>
              <w:vanish w:val="false"/>
              <w:rFonts w:eastAsia="Tahoma"/>
            </w:rPr>
            <w:fldChar w:fldCharType="separate"/>
          </w:r>
          <w:hyperlink w:anchor="_Toc198643095">
            <w:r>
              <w:rPr>
                <w:webHidden/>
                <w:rStyle w:val="Style12"/>
                <w:rFonts w:eastAsia="Tahoma"/>
                <w:vanish w:val="false"/>
                <w:sz w:val="24"/>
                <w:szCs w:val="24"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_Toc198643095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096">
            <w:r>
              <w:rPr>
                <w:webHidden/>
                <w:rStyle w:val="Style12"/>
                <w:rFonts w:eastAsia="Tahoma"/>
                <w:vanish w:val="false"/>
                <w:sz w:val="24"/>
                <w:szCs w:val="24"/>
              </w:rPr>
              <w:t>1.1.</w:t>
            </w:r>
            <w:r>
              <w:rPr>
                <w:rStyle w:val="Style12"/>
                <w:sz w:val="24"/>
                <w:szCs w:val="24"/>
              </w:rPr>
              <w:t xml:space="preserve">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_Toc198643096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097">
            <w:r>
              <w:rPr>
                <w:webHidden/>
                <w:rStyle w:val="Style12"/>
                <w:bCs/>
                <w:vanish w:val="false"/>
                <w:sz w:val="24"/>
                <w:szCs w:val="24"/>
              </w:rPr>
              <w:t>1.2.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_Toc198643097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098">
            <w:r>
              <w:rPr>
                <w:webHidden/>
                <w:rStyle w:val="Style12"/>
                <w:bCs/>
                <w:vanish w:val="false"/>
                <w:sz w:val="24"/>
                <w:szCs w:val="24"/>
              </w:rPr>
              <w:t>2.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_Toc198643098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099">
            <w:r>
              <w:rPr>
                <w:webHidden/>
                <w:rStyle w:val="Style12"/>
                <w:bCs/>
                <w:vanish w:val="false"/>
                <w:sz w:val="24"/>
                <w:szCs w:val="24"/>
              </w:rPr>
              <w:t>2.1. 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_Toc198643099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100">
            <w:r>
              <w:rPr>
                <w:webHidden/>
                <w:rStyle w:val="Style12"/>
                <w:bCs/>
                <w:vanish w:val="false"/>
                <w:sz w:val="24"/>
                <w:szCs w:val="24"/>
              </w:rPr>
              <w:t>2.1.1.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_Toc198643100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101">
            <w:r>
              <w:rPr>
                <w:webHidden/>
                <w:rStyle w:val="Style12"/>
                <w:bCs/>
                <w:vanish w:val="false"/>
                <w:sz w:val="24"/>
                <w:szCs w:val="24"/>
              </w:rPr>
              <w:t>2.1.2.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_Toc198643101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102">
            <w:r>
              <w:rPr>
                <w:webHidden/>
                <w:rStyle w:val="Style12"/>
                <w:rFonts w:eastAsia="PT Serif"/>
                <w:vanish w:val="false"/>
                <w:sz w:val="24"/>
                <w:szCs w:val="24"/>
              </w:rPr>
              <w:t>2.1.3. Требования к месту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_Toc198643102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103">
            <w:r>
              <w:rPr>
                <w:webHidden/>
                <w:rStyle w:val="Style12"/>
                <w:rFonts w:eastAsia="PT Serif" w:cs="PT Serif"/>
                <w:vanish w:val="false"/>
                <w:sz w:val="24"/>
                <w:szCs w:val="24"/>
              </w:rPr>
              <w:t>2.2.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_Toc198643103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4"/>
              <w:szCs w:val="24"/>
            </w:rPr>
          </w:pPr>
          <w:hyperlink w:anchor="_Toc198643104">
            <w:r>
              <w:rPr>
                <w:webHidden/>
                <w:rStyle w:val="Style12"/>
                <w:rFonts w:eastAsia="PT Serif"/>
                <w:bCs/>
                <w:vanish w:val="false"/>
                <w:sz w:val="24"/>
                <w:szCs w:val="24"/>
              </w:rPr>
              <w:t>3. 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_Toc198643104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98643105">
            <w:r>
              <w:rPr>
                <w:webHidden/>
                <w:rStyle w:val="Style12"/>
                <w:rFonts w:eastAsia="PT Serif"/>
                <w:bCs/>
                <w:iCs/>
                <w:vanish w:val="false"/>
                <w:sz w:val="24"/>
                <w:szCs w:val="24"/>
                <w:shd w:fill="FFFFFF" w:val="clear"/>
              </w:rPr>
              <w:t>4. 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_Toc198643105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rFonts w:eastAsia="Calibri"/>
          <w:b/>
          <w:bCs/>
          <w:color w:val="000000" w:themeColor="text1"/>
          <w:sz w:val="26"/>
          <w:szCs w:val="26"/>
          <w:shd w:fill="FFFF00" w:val="clear"/>
        </w:rPr>
      </w:pPr>
      <w:r>
        <w:rPr>
          <w:rFonts w:eastAsia="Calibri"/>
          <w:b/>
          <w:bCs/>
          <w:color w:val="000000" w:themeColor="text1"/>
          <w:sz w:val="26"/>
          <w:szCs w:val="26"/>
          <w:shd w:fill="FFFF00" w:val="clear"/>
        </w:rPr>
      </w:r>
      <w:r>
        <w:br w:type="page"/>
      </w:r>
    </w:p>
    <w:p>
      <w:pPr>
        <w:pStyle w:val="Heading1"/>
        <w:jc w:val="center"/>
        <w:rPr>
          <w:rFonts w:ascii="Times New Roman" w:hAnsi="Times New Roman" w:eastAsia="Tahoma" w:cs="Times New Roman"/>
          <w:b/>
          <w:sz w:val="24"/>
          <w:szCs w:val="24"/>
        </w:rPr>
      </w:pPr>
      <w:bookmarkStart w:id="0" w:name="_Toc198643095"/>
      <w:r>
        <w:rPr>
          <w:rFonts w:eastAsia="Tahoma" w:cs="Times New Roman" w:ascii="Times New Roman" w:hAnsi="Times New Roman"/>
          <w:b/>
          <w:sz w:val="24"/>
          <w:szCs w:val="24"/>
        </w:rPr>
        <w:t>1. Общие сведения</w:t>
      </w:r>
      <w:bookmarkEnd w:id="0"/>
    </w:p>
    <w:p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bookmarkStart w:id="1" w:name="_Toc198643096"/>
      <w:r>
        <w:rPr>
          <w:rFonts w:eastAsia="Tahoma" w:cs="Times New Roman" w:ascii="Times New Roman" w:hAnsi="Times New Roman"/>
          <w:b/>
          <w:sz w:val="24"/>
          <w:szCs w:val="24"/>
        </w:rPr>
        <w:t>1.1.</w:t>
      </w:r>
      <w:r>
        <w:rPr>
          <w:rFonts w:cs="Times New Roman" w:ascii="Times New Roman" w:hAnsi="Times New Roman"/>
          <w:b/>
          <w:sz w:val="24"/>
          <w:szCs w:val="24"/>
        </w:rPr>
        <w:t xml:space="preserve"> Наименование закупаемой продукции</w:t>
      </w:r>
      <w:bookmarkEnd w:id="1"/>
    </w:p>
    <w:p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«ОКПД2 — 86.21.10.120. Периодический медицинский осмотр работников АО «Сахаэнерго» Производственный ц</w:t>
      </w:r>
      <w:r>
        <w:rPr>
          <w:bCs/>
          <w:sz w:val="24"/>
          <w:szCs w:val="24"/>
          <w:shd w:fill="auto" w:val="clear"/>
        </w:rPr>
        <w:t>ентр» г. Якутск.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outlineLvl w:val="1"/>
        <w:rPr>
          <w:sz w:val="24"/>
          <w:szCs w:val="24"/>
        </w:rPr>
      </w:pPr>
      <w:bookmarkStart w:id="2" w:name="_Toc198643097"/>
      <w:r>
        <w:rPr>
          <w:b/>
          <w:bCs/>
          <w:sz w:val="24"/>
          <w:szCs w:val="24"/>
        </w:rPr>
        <w:t>1.2. Цель оказания услуг</w:t>
      </w:r>
      <w:bookmarkEnd w:id="2"/>
    </w:p>
    <w:p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Определения соответствия состояния здоровья кандидата поручаемой ему работе и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возникновения, и распростран</w:t>
      </w:r>
      <w:bookmarkStart w:id="3" w:name="_GoBack"/>
      <w:bookmarkEnd w:id="3"/>
      <w:r>
        <w:rPr>
          <w:sz w:val="24"/>
          <w:szCs w:val="24"/>
        </w:rPr>
        <w:t xml:space="preserve">ения заболеваний и формирования групп риска по развитию заболеваний, препятствующих выполнению поручаемой работнику работе; </w:t>
      </w:r>
    </w:p>
    <w:p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198643098"/>
      <w:r>
        <w:rPr>
          <w:rFonts w:cs="Times New Roman" w:ascii="Times New Roman" w:hAnsi="Times New Roman"/>
          <w:b/>
          <w:bCs/>
          <w:sz w:val="24"/>
          <w:szCs w:val="24"/>
        </w:rPr>
        <w:t>2. Требования к продукции</w:t>
      </w:r>
      <w:bookmarkEnd w:id="4"/>
    </w:p>
    <w:p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5" w:name="_Toc198643099"/>
      <w:r>
        <w:rPr>
          <w:rFonts w:cs="Times New Roman" w:ascii="Times New Roman" w:hAnsi="Times New Roman"/>
          <w:b/>
          <w:bCs/>
          <w:sz w:val="24"/>
          <w:szCs w:val="24"/>
        </w:rPr>
        <w:t>2.1. Требования к объемам и срокам оказания услуг</w:t>
      </w:r>
      <w:bookmarkEnd w:id="5"/>
    </w:p>
    <w:p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6" w:name="_Toc198643100"/>
      <w:r>
        <w:rPr>
          <w:rFonts w:cs="Times New Roman" w:ascii="Times New Roman" w:hAnsi="Times New Roman"/>
          <w:b/>
          <w:bCs/>
          <w:sz w:val="24"/>
          <w:szCs w:val="24"/>
        </w:rPr>
        <w:t>2.1.1. Требования к перечню и объему услуг</w:t>
      </w:r>
      <w:bookmarkEnd w:id="6"/>
    </w:p>
    <w:p>
      <w:pPr>
        <w:pStyle w:val="Normal"/>
        <w:tabs>
          <w:tab w:val="clear" w:pos="708"/>
          <w:tab w:val="left" w:pos="142" w:leader="none"/>
        </w:tabs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и объем оказываемых услуг</w:t>
      </w:r>
    </w:p>
    <w:tbl>
      <w:tblPr>
        <w:tblW w:w="96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6"/>
        <w:gridCol w:w="3124"/>
        <w:gridCol w:w="1413"/>
        <w:gridCol w:w="4245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 / этапа услуг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>
          <w:trHeight w:val="32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Периодический медицинский осмотр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чел.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108</w:t>
            </w:r>
          </w:p>
        </w:tc>
      </w:tr>
    </w:tbl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both"/>
        <w:rPr>
          <w:b/>
          <w:bCs/>
        </w:rPr>
      </w:pPr>
      <w:r>
        <w:rPr>
          <w:rFonts w:eastAsia="PT Serif"/>
          <w:b/>
          <w:bCs/>
          <w:sz w:val="24"/>
          <w:szCs w:val="24"/>
        </w:rPr>
        <w:t xml:space="preserve">Таблица 1.2. Сводное количество работников подлежащих обязательному периодическому медицинскому осмотру 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15" w:type="dxa"/>
        <w:jc w:val="left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2867"/>
        <w:gridCol w:w="1977"/>
        <w:gridCol w:w="2223"/>
        <w:gridCol w:w="2547"/>
      </w:tblGrid>
      <w:tr>
        <w:trPr>
          <w:trHeight w:val="477" w:hRule="atLeast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Младше 40 лет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лет и старше</w:t>
            </w:r>
          </w:p>
        </w:tc>
      </w:tr>
      <w:tr>
        <w:trPr>
          <w:trHeight w:val="255" w:hRule="atLeast"/>
        </w:trPr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434" w:hRule="atLeast"/>
        </w:trPr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both"/>
        <w:rPr>
          <w:b/>
          <w:bCs/>
        </w:rPr>
      </w:pPr>
      <w:r>
        <w:rPr>
          <w:rFonts w:eastAsia="PT Serif"/>
          <w:b/>
          <w:bCs/>
          <w:sz w:val="24"/>
          <w:szCs w:val="24"/>
        </w:rPr>
        <w:t>Таблица 1.3. Сводное количество вредных и (или) опасных производственных факторов</w:t>
      </w:r>
    </w:p>
    <w:p>
      <w:pPr>
        <w:pStyle w:val="Normal"/>
        <w:widowControl w:val="false"/>
        <w:jc w:val="both"/>
        <w:rPr>
          <w:b/>
          <w:bCs/>
        </w:rPr>
      </w:pPr>
      <w:r>
        <w:rPr>
          <w:b/>
          <w:bCs/>
        </w:rPr>
      </w:r>
    </w:p>
    <w:tbl>
      <w:tblPr>
        <w:tblW w:w="9585" w:type="dxa"/>
        <w:jc w:val="left"/>
        <w:tblInd w:w="-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325"/>
        <w:gridCol w:w="2158"/>
        <w:gridCol w:w="2102"/>
      </w:tblGrid>
      <w:tr>
        <w:trPr>
          <w:trHeight w:val="690" w:hRule="atLeast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PT Serif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ункты вредных и (или) опасных производственных факторов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Женщины</w:t>
            </w:r>
          </w:p>
        </w:tc>
      </w:tr>
      <w:tr>
        <w:trPr>
          <w:trHeight w:val="474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4.2.5.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п.4.2.5, п.6.1, п.9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п.1.39, п. 4.2.3, п. 4.3.1, п.5.1, п.6.1, п.9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п.1.50, п.5.1, п.18.1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п.3.1.7, п.4.2.1, п.5.1.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п.4.2.3, п.4.2.5, п.9, п.6.1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п.4.2.3, п.4.3.1, п.5.1, п.6.1, п.9, п.1.39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п.4.2.3, п.5.1, п.15, п.1.39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п.4.2.3, п.5.1, п.6.1, п.9, п.15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п.4.2.5, 4.2.3, п.9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п.4.2.5, п.15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п.4.3.1, 4.2.5, п.6, п.8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п.4.3.1, п.5.1, п.15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п.4.3.1, п.5.1, п.6, п.8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п.4.3.2, п.5.1, п.6.1, п.8, п.18.1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п.4.4, п.15, п.1.39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п.4.4, п.4.3.2, п.4.7, п.5.1, п.6.1, п.9, п.1.39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п.4.7, п.5.1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п.5.1, п.1.46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п.5.1, п.18.1, п.1.50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п.5.1, п.6.1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7" w:name="_Toc198643101"/>
      <w:r>
        <w:rPr>
          <w:rFonts w:cs="Times New Roman" w:ascii="Times New Roman" w:hAnsi="Times New Roman"/>
          <w:b/>
          <w:bCs/>
          <w:sz w:val="24"/>
          <w:szCs w:val="24"/>
        </w:rPr>
        <w:t>2.1.2. Требования к срокам оказания услуг</w:t>
      </w:r>
      <w:bookmarkEnd w:id="7"/>
    </w:p>
    <w:p>
      <w:pPr>
        <w:pStyle w:val="Normal"/>
        <w:tabs>
          <w:tab w:val="clear" w:pos="708"/>
          <w:tab w:val="left" w:pos="142" w:leader="none"/>
        </w:tabs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2. Требования к срокам оказания услуг</w:t>
      </w:r>
    </w:p>
    <w:tbl>
      <w:tblPr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2"/>
        <w:gridCol w:w="2266"/>
        <w:gridCol w:w="1984"/>
        <w:gridCol w:w="2108"/>
        <w:gridCol w:w="2293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22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периодического медицинского осмотра</w:t>
            </w:r>
            <w:r>
              <w:rPr>
                <w:i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.01.202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по 18.12.202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оказание услуг: по заявке Заказчика согласно календарному плану прохождения периодического медицинского осмотра.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услуг: до полного прохождения всеми работниками периодического медицинского осмотра, но не позднее 18.12.202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8" w:name="_Toc198643102"/>
      <w:r>
        <w:rPr>
          <w:rFonts w:eastAsia="PT Serif" w:cs="Times New Roman" w:ascii="Times New Roman" w:hAnsi="Times New Roman"/>
          <w:b/>
          <w:sz w:val="24"/>
          <w:szCs w:val="24"/>
        </w:rPr>
        <w:t>2.1.3. Требования к месту оказания услуг</w:t>
      </w:r>
      <w:bookmarkEnd w:id="8"/>
    </w:p>
    <w:p>
      <w:pPr>
        <w:pStyle w:val="Normal"/>
        <w:shd w:val="clear" w:fill="FFFFFF"/>
        <w:tabs>
          <w:tab w:val="clear" w:pos="708"/>
          <w:tab w:val="left" w:pos="142" w:leader="none"/>
        </w:tabs>
        <w:jc w:val="both"/>
        <w:rPr/>
      </w:pPr>
      <w:r>
        <w:rPr>
          <w:sz w:val="24"/>
          <w:szCs w:val="24"/>
          <w:highlight w:val="white"/>
        </w:rPr>
        <w:t>Услуги должны оказываться: 678440, Республика Саха (Якутия), г. Якутск</w:t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851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42" w:leader="none"/>
        </w:tabs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</w:t>
      </w:r>
    </w:p>
    <w:p>
      <w:pPr>
        <w:pStyle w:val="Heading2"/>
        <w:rPr>
          <w:rFonts w:ascii="Times New Roman" w:hAnsi="Times New Roman"/>
          <w:b/>
          <w:sz w:val="24"/>
          <w:szCs w:val="24"/>
        </w:rPr>
      </w:pPr>
      <w:bookmarkStart w:id="9" w:name="__RefHeading___Toc10471_951142807"/>
      <w:bookmarkStart w:id="10" w:name="_Toc198643103"/>
      <w:bookmarkEnd w:id="9"/>
      <w:r>
        <w:rPr>
          <w:rFonts w:eastAsia="PT Serif" w:cs="PT Serif" w:ascii="Times New Roman" w:hAnsi="Times New Roman"/>
          <w:b/>
          <w:sz w:val="24"/>
          <w:szCs w:val="24"/>
        </w:rPr>
        <w:t>2.2. Требования к качеству услуг</w:t>
      </w:r>
      <w:bookmarkEnd w:id="10"/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3. Требования к качеству услуг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Наименование услуг/этапа услуг Таблицы 3: </w:t>
      </w:r>
      <w:r>
        <w:rPr>
          <w:sz w:val="24"/>
          <w:szCs w:val="24"/>
          <w:shd w:fill="auto" w:val="clear"/>
        </w:rPr>
        <w:t>Периодический медицинский осмотр работников АО «Сахаэнерго» Производственный центр г. Якутск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4885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3404"/>
        <w:gridCol w:w="2690"/>
        <w:gridCol w:w="2929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1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11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должны оказываться в соответствии с требованиями действующего законодательства Российской Федерации, в том числе в соответствии с Приказом Минздрава РФ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</w:t>
            </w:r>
            <w:r>
              <w:rPr>
                <w:b/>
                <w:bCs/>
                <w:sz w:val="24"/>
                <w:szCs w:val="24"/>
              </w:rPr>
              <w:t>далее-Порядок).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PT Serif"/>
                <w:bCs/>
                <w:sz w:val="24"/>
                <w:szCs w:val="24"/>
              </w:rPr>
              <w:t>В соответствии с Порядком Исполнитель определяет необходимость участия в периодическом осмотре соответствующих врачей-специалистов, а также видов и объемов необходимых лабораторных и функциональных исследований, на основании списка работников, указанных в</w:t>
            </w:r>
            <w:r>
              <w:rPr>
                <w:rFonts w:eastAsia="PT Serif"/>
                <w:b/>
                <w:bCs/>
                <w:sz w:val="24"/>
                <w:szCs w:val="24"/>
              </w:rPr>
              <w:t xml:space="preserve"> Приложении №1</w:t>
            </w:r>
            <w:r>
              <w:rPr>
                <w:rFonts w:eastAsia="PT Serif"/>
                <w:bCs/>
                <w:sz w:val="24"/>
                <w:szCs w:val="24"/>
              </w:rPr>
              <w:t xml:space="preserve"> к Техническим требованиям, и проводит периодический медосмотр на основании поименных списков, разработанных Заказчиком на основании контингентов работников, подлежащих периодическим медосмотрам с указанием вредных (опасных) производственных факторов, а также вида работы в соответствии с Порядком.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периодических осмотров Исполнитель руководствуется приказом Минздравсоцразвития РФ от 28.01.2021 года №29н «Об 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 При  проведении периодического осмотра провести наркологический осмотр с последующей фиксацией данных в рамках действующего законодательства.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проведения периодического осмотра Исполнитель формирует постоянно действующую врачебную комиссию. В состав комиссии входит врач-профпатолог, а также врачи–специалисты, прошедшие в установленном порядке повышение квалификации по специальности  «профпатология» или имеющие действующий сертификат по специальности «профпатология». Возглавляет врачебную комиссию врач-профпатолог.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Врачебная комиссия медицинской организации на основании указанных в Поимённом списке вредных производственных факторов или работ определяет необходимость участия в первичных и периодических осмотрах соответствующих врачей-специалистов, а также виды и объёмы необходимых лабораторных и функциональных исследований.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должна иметь в штате аттестованный и квалифицированный медицинский персонал. Собственную лабораторию для проведения лабораторных и функциональных исследований.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порядку проведения работ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согласовать календарный план прохождения периодического медицинского осмотра сотрудников Заказчика.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осмотр сотрудников должен проводиться в помещениях, оборудованных необходимой техникой, квалифицированными, аттестованными специалистами в соответствии с установленными профессиональными стандартами, нормативами и правилами оказания медицинской помощи.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первичных и периодических медицинских осмотров работников Заказчика должно производиться при выведении медицинских осмотров из общего потока посещений, в строгом соответствии с согласованным с Заказчиком временем, удобным для сотрудников Заказчика.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лицо, проходящее медицинский осмотр, в медицинской организации оформляются медицинская карта амбулаторного больного, в которой отражаются заключения всех врачей-специалистов, результаты лабораторных и инструментальных исследований, заключение по результатам медицинского осмотра, и учётная форма «паспорт здоровья» работника. Каждому паспорту здоровья присваивается номер и указывается дата его заполнения.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каждого работника ведётся один паспорт здоровья.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проведения осмотра паспорт здоровья хранится в медицинской организации. По    окончании осмотра паспорт здоровья выдаётся работнику на руки.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утери работником паспорта здоровья медицинская организация по заявлению работника выдаёт ему дубликат паспорта здоровья бесплатно.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осмотр является завершённым в случае осмотра работника всеми врачами-специалистами, а также выполнения полного объёма лабораторных и функциональных исследований, предусмотренных в Перечне факторов указанных в списке согласно Приложению №1 к Техническому требованию.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прохождения работником медицинского осмотра Исполнитель оформляет медицинское заключение.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на каждого работника заключения по его результатам в соответствии с требованиями Приказа Министерства здравоохранения РФ от 28.01.2021 № 29н.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Акта об оказании Услуг в соответствии с Приложением № 4 к проекту Договора.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работников, составляет заключительный акт в соответствии с требованиями Приказа Министерства здравоохранения Российской Федерации от 28.01.2021 № 29н.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результатов медицинского осмотра в установленном порядке определяется принадлежность работника к одной из диспансерных групп в соответствии с действующими нормативными правовыми актами, с последующим оформлением в медицинской карте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подозрения о наличии у работника профессионального заболевания при проведении осмотра медицинская организация выдаёт работнику направление в центр профпатологии или специализированную медицинскую организацию, имеющую право на проведение экспертизы связи заболевания с профессией.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3.1.6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проводивший предварительный и периодический осмотр по их окончании: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выдает работнику на руки выписку из медицинской карты, в которой отражаются        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направляют копию выписки, указанной в абзаце втором настоящего пункта в медицинские                           организации по месту жительства или прикрепления работника, с письменного согласия работника.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акту об оказании Услуг должен прикладываться Реестр работников АО «Сахаэнерго», прошедших периодический медицинский осмотр.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  <w:tc>
          <w:tcPr>
            <w:tcW w:w="2743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акт составляется и направляется Исполнителем в течение 5 рабочих дней с даты, утверждения акта Заказчику.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  <w:tc>
          <w:tcPr>
            <w:tcW w:w="2743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 w:before="0" w:after="20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Заказчику проведение медицинского осмотра работников в сроки, определенные настоящим техническим требованием, а также проведение медицинского осмотра персонала, не прошедшего медицинский осмотр в установленные сроки по уважительной причине (нахождение на листе нетрудоспособности или в отпуске).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  <w:tc>
          <w:tcPr>
            <w:tcW w:w="2743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BodyText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Приказом Министерства здравоохранения Российской Федерации от 28.01.2021 № 29н.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  <w:tc>
          <w:tcPr>
            <w:tcW w:w="2743" w:type="dxa"/>
            <w:tcBorders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851" w:footer="708" w:bottom="850"/>
          <w:pgNumType w:start="5"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Heading1"/>
        <w:jc w:val="center"/>
        <w:rPr>
          <w:sz w:val="24"/>
          <w:szCs w:val="24"/>
        </w:rPr>
      </w:pPr>
      <w:bookmarkStart w:id="12" w:name="__RefHeading___Toc10475_951142807"/>
      <w:bookmarkStart w:id="13" w:name="_Toc198643104"/>
      <w:bookmarkEnd w:id="12"/>
      <w:r>
        <w:rPr>
          <w:rFonts w:eastAsia="PT Serif" w:cs="Times New Roman" w:ascii="Times New Roman" w:hAnsi="Times New Roman"/>
          <w:b/>
          <w:bCs/>
          <w:sz w:val="24"/>
          <w:szCs w:val="24"/>
        </w:rPr>
        <w:t xml:space="preserve">3. </w:t>
      </w:r>
      <w:bookmarkStart w:id="14" w:name="undefined_Копия_1"/>
      <w:r>
        <w:rPr>
          <w:rFonts w:eastAsia="PT Serif" w:cs="Times New Roman" w:ascii="Times New Roman" w:hAnsi="Times New Roman"/>
          <w:b/>
          <w:bCs/>
          <w:sz w:val="24"/>
          <w:szCs w:val="24"/>
        </w:rPr>
        <w:t>Требования к документации по ценообразованию на этапе закупки</w:t>
      </w:r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227" w:after="0"/>
        <w:jc w:val="both"/>
        <w:rPr>
          <w:rStyle w:val="Style13"/>
          <w:rFonts w:eastAsia="PT Serif"/>
          <w:b w:val="false"/>
          <w:bCs/>
          <w:i w:val="false"/>
          <w:i w:val="false"/>
          <w:iCs/>
          <w:color w:val="000000"/>
          <w:sz w:val="24"/>
          <w:szCs w:val="24"/>
          <w:shd w:fill="FFFFFF" w:val="clear"/>
        </w:rPr>
      </w:pPr>
      <w:r>
        <w:rPr>
          <w:rStyle w:val="Style13"/>
          <w:rFonts w:eastAsia="PT Serif"/>
          <w:b w:val="false"/>
          <w:bCs/>
          <w:i w:val="false"/>
          <w:iCs/>
          <w:color w:val="000000"/>
          <w:sz w:val="24"/>
          <w:szCs w:val="24"/>
          <w:shd w:fill="FFFFFF" w:val="clear"/>
        </w:rPr>
        <w:t>4.1.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1"/>
        <w:jc w:val="center"/>
        <w:rPr>
          <w:rStyle w:val="Style13"/>
          <w:rFonts w:ascii="Times New Roman" w:hAnsi="Times New Roman" w:eastAsia="PT Serif" w:cs="Times New Roman"/>
          <w:bCs/>
          <w:i w:val="false"/>
          <w:i w:val="false"/>
          <w:iCs/>
          <w:color w:val="000000"/>
          <w:sz w:val="24"/>
          <w:szCs w:val="24"/>
          <w:shd w:fill="FFFFFF" w:val="clear"/>
        </w:rPr>
      </w:pPr>
      <w:bookmarkStart w:id="15" w:name="_Toc198643105"/>
      <w:r>
        <w:rPr>
          <w:rStyle w:val="Style13"/>
          <w:rFonts w:eastAsia="PT Serif" w:cs="Times New Roman" w:ascii="Times New Roman" w:hAnsi="Times New Roman"/>
          <w:bCs/>
          <w:i w:val="false"/>
          <w:iCs/>
          <w:color w:val="000000"/>
          <w:sz w:val="24"/>
          <w:szCs w:val="24"/>
          <w:shd w:fill="FFFFFF" w:val="clear"/>
        </w:rPr>
        <w:t>4. Приложения</w:t>
      </w:r>
      <w:bookmarkEnd w:id="15"/>
    </w:p>
    <w:p>
      <w:pPr>
        <w:pStyle w:val="Style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 Приложение 1. Список ра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ботников Производственного центра г. Якутск подл</w:t>
      </w:r>
      <w:r>
        <w:rPr>
          <w:rFonts w:cs="Times New Roman" w:ascii="Times New Roman" w:hAnsi="Times New Roman"/>
          <w:sz w:val="24"/>
          <w:szCs w:val="24"/>
        </w:rPr>
        <w:t>ежащих периодическому медицинскому осмотру в 202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году.</w:t>
      </w:r>
      <w:bookmarkEnd w:id="14"/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851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86507740"/>
    </w:sdtPr>
    <w:sdtContent>
      <w:p>
        <w:pPr>
          <w:pStyle w:val="Footer"/>
          <w:jc w:val="cen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9512356"/>
    </w:sdtPr>
    <w:sdtContent>
      <w:p>
        <w:pPr>
          <w:pStyle w:val="Footer"/>
          <w:jc w:val="center"/>
          <w:rPr/>
        </w:pPr>
        <w:r>
          <w:rPr/>
        </w:r>
      </w:p>
      <w:p>
        <w:pPr>
          <w:pStyle w:val="Normal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57410626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Style15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1" w:customStyle="1">
    <w:name w:val="Тема примечания Знак"/>
    <w:basedOn w:val="Style9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комментарий"/>
    <w:qFormat/>
    <w:rPr>
      <w:b/>
      <w:i/>
      <w:shd w:fill="FFFF99" w:val="clear"/>
    </w:rPr>
  </w:style>
  <w:style w:type="character" w:styleId="Style14" w:customStyle="1">
    <w:name w:val="Символ нумерации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Style15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Style15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111" w:customStyle="1">
    <w:name w:val="caption11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Style71" w:customStyle="1">
    <w:name w:val="Style7"/>
    <w:basedOn w:val="Normal"/>
    <w:uiPriority w:val="99"/>
    <w:qFormat/>
    <w:pPr>
      <w:widowControl w:val="false"/>
    </w:pPr>
    <w:rPr>
      <w:sz w:val="24"/>
      <w:szCs w:val="24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9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pPr/>
    <w:rPr>
      <w:b/>
      <w:bCs/>
    </w:rPr>
  </w:style>
  <w:style w:type="paragraph" w:styleId="Style19" w:customStyle="1">
    <w:name w:val="Таблица шапка"/>
    <w:qFormat/>
    <w:pPr>
      <w:keepNext w:val="true"/>
      <w:widowControl/>
      <w:suppressAutoHyphens w:val="true"/>
      <w:bidi w:val="0"/>
      <w:spacing w:before="40" w:after="40"/>
      <w:ind w:left="57" w:right="57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6"/>
      <w:lang w:val="ru-RU" w:eastAsia="ru-RU" w:bidi="ar-SA"/>
    </w:rPr>
  </w:style>
  <w:style w:type="paragraph" w:styleId="11" w:customStyle="1">
    <w:name w:val="Основной текст1"/>
    <w:qFormat/>
    <w:pPr>
      <w:widowControl w:val="false"/>
      <w:shd w:val="clear" w:color="auto" w:fill="FFFFFF"/>
      <w:suppressAutoHyphens w:val="true"/>
      <w:bidi w:val="0"/>
      <w:spacing w:lineRule="auto" w:line="259" w:before="0" w:after="160"/>
      <w:ind w:firstLine="4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Таблица"/>
    <w:qFormat/>
    <w:pPr>
      <w:keepNext w:val="true"/>
      <w:widowControl/>
      <w:suppressAutoHyphens w:val="true"/>
      <w:bidi w:val="0"/>
      <w:spacing w:before="60" w:after="60"/>
      <w:jc w:val="center"/>
    </w:pPr>
    <w:rPr>
      <w:rFonts w:ascii="Times New Roman" w:hAnsi="Times New Roman" w:eastAsia="Calibri" w:cs="Times New Roman" w:eastAsiaTheme="minorHAnsi"/>
      <w:b/>
      <w:color w:val="auto"/>
      <w:kern w:val="0"/>
      <w:sz w:val="24"/>
      <w:szCs w:val="24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8392473781" w:customStyle="1">
    <w:name w:val="1839247378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922EC-EF44-4AD6-A923-5A1571CB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Application>AlterOffice/3.4.0.8$Linux_X86_64 LibreOffice_project/8f3f3c847f0b8d6fea24e251d3d8ed4f23cbe23c</Application>
  <AppVersion>15.0000</AppVersion>
  <Pages>15</Pages>
  <Words>1880</Words>
  <Characters>13284</Characters>
  <CharactersWithSpaces>14918</CharactersWithSpaces>
  <Paragraphs>294</Paragraphs>
  <Company>Geotherm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2024-11-05T23:12:00Z</dcterms:created>
  <dc:creator>Бударгина Ольга Валерьевна</dc:creator>
  <dc:description/>
  <dc:language>ru-RU</dc:language>
  <cp:lastModifiedBy/>
  <dcterms:modified xsi:type="dcterms:W3CDTF">2026-06-03T14:42:53Z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