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«Утверждаю»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Первый заместитель Генерального директора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- главный инженер АО «Сахаэнерго»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_____________/Копырин Н.М./</w:t>
      </w:r>
    </w:p>
    <w:p>
      <w:pPr>
        <w:pStyle w:val="Normal"/>
        <w:keepNext w:val="true"/>
        <w:keepLines/>
        <w:jc w:val="right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«____» ___________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«</w:t>
      </w:r>
      <w:r>
        <w:rPr>
          <w:rStyle w:val="Style8"/>
          <w:rFonts w:eastAsia="Calibri"/>
          <w:bCs/>
          <w:i w:val="false"/>
          <w:color w:val="000000"/>
          <w:sz w:val="26"/>
          <w:szCs w:val="26"/>
          <w:shd w:fill="auto" w:val="clear"/>
        </w:rPr>
        <w:t>ОКПД2 — 71.20.19.130.</w:t>
      </w:r>
      <w:r>
        <w:rPr>
          <w:rStyle w:val="Style8"/>
          <w:rFonts w:eastAsia="Calibri"/>
          <w:bCs/>
          <w:i w:val="false"/>
          <w:color w:val="C9211E"/>
          <w:sz w:val="26"/>
          <w:szCs w:val="26"/>
          <w:shd w:fill="auto" w:val="clear"/>
        </w:rPr>
        <w:t xml:space="preserve"> </w:t>
      </w:r>
      <w:r>
        <w:rPr>
          <w:rStyle w:val="Style8"/>
          <w:rFonts w:eastAsia="Calibri"/>
          <w:bCs/>
          <w:i w:val="false"/>
          <w:color w:val="000000"/>
          <w:sz w:val="26"/>
          <w:szCs w:val="26"/>
          <w:shd w:fill="auto" w:val="clear"/>
        </w:rPr>
        <w:t>Производственный контроль на рабочих местах АО «Сахаэнерго</w:t>
      </w:r>
      <w:r>
        <w:rPr>
          <w:rFonts w:eastAsia="Calibri"/>
          <w:b/>
          <w:bCs/>
          <w:color w:val="000000"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center"/>
            <w:rPr>
              <w:rFonts w:ascii="Times New Roman" w:hAnsi="Times New Roman"/>
              <w:b w:val="false"/>
              <w:bCs w:val="false"/>
              <w:color w:val="000000"/>
            </w:rPr>
          </w:pPr>
          <w:r>
            <w:rPr>
              <w:rFonts w:ascii="Times New Roman" w:hAnsi="Times New Roman"/>
              <w:b w:val="false"/>
              <w:bCs w:val="false"/>
              <w:color w:val="000000"/>
            </w:rPr>
            <w:t>Оглавление</w:t>
          </w:r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6"/>
              <w:szCs w:val="26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sz w:val="26"/>
              <w:szCs w:val="26"/>
              <w:vanish w:val="false"/>
            </w:rPr>
            <w:fldChar w:fldCharType="separate"/>
          </w:r>
          <w:hyperlink w:anchor="__RefHeading___Toc1427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429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1.1. Обозначения и сокращения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431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433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1.3.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35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37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 xml:space="preserve">2. </w:t>
            </w:r>
            <w:r>
              <w:rPr>
                <w:rStyle w:val="Style14"/>
                <w:iCs/>
                <w:sz w:val="26"/>
                <w:szCs w:val="26"/>
              </w:rPr>
              <w:t>Требования к продукции</w:t>
            </w:r>
            <w:r>
              <w:rPr>
                <w:rStyle w:val="Style14"/>
                <w:sz w:val="26"/>
                <w:szCs w:val="26"/>
              </w:rPr>
              <w:tab/>
              <w:t>6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439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2.1.1. Требования к перечню и объему услуг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41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2. Перечень и объем оказываемых услуг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43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2.1. Лабораторные исследования в рамках Производственного контроля</w:t>
              <w:tab/>
              <w:t>9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45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ab/>
              <w:t>10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447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2.1.2. Требования к срокам оказания услуг</w:t>
              <w:tab/>
              <w:t>10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49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3. Требования к срокам оказания услуг</w:t>
              <w:tab/>
              <w:t>10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51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 4. Требования к качеству услуг</w:t>
              <w:tab/>
              <w:t>11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53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>3. Требования к документации по ценообразованию на этапе закупки</w:t>
              <w:tab/>
              <w:t>16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55_3389930708">
            <w:r>
              <w:rPr>
                <w:webHidden/>
                <w:rStyle w:val="Style14"/>
                <w:vanish w:val="false"/>
                <w:sz w:val="26"/>
                <w:szCs w:val="26"/>
              </w:rPr>
              <w:t xml:space="preserve">4. </w:t>
            </w:r>
            <w:r>
              <w:rPr>
                <w:rStyle w:val="Style14"/>
                <w:iCs/>
                <w:sz w:val="26"/>
                <w:szCs w:val="26"/>
              </w:rPr>
              <w:t>Приложения</w:t>
            </w:r>
            <w:r>
              <w:rPr>
                <w:rStyle w:val="Style14"/>
                <w:sz w:val="26"/>
                <w:szCs w:val="26"/>
              </w:rPr>
              <w:tab/>
              <w:t>16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57_3389930708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 xml:space="preserve">4.1. Приложение №1 </w:t>
            </w:r>
            <w:r>
              <w:rPr>
                <w:rStyle w:val="Style14"/>
                <w:iCs/>
                <w:sz w:val="26"/>
                <w:szCs w:val="26"/>
              </w:rPr>
              <w:t>Перечень рабочих мест АО «Сахаэнерго» на которых необходима организация лабораторных, инструментальных исследований и испытаний на наличие химических, биологических и иных вредных производственных факторов.</w:t>
            </w:r>
            <w:r>
              <w:rPr>
                <w:rStyle w:val="Style14"/>
                <w:sz w:val="26"/>
                <w:szCs w:val="26"/>
              </w:rPr>
              <w:tab/>
              <w:t>16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59_3389930708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 xml:space="preserve">4.2. Приложение № 2: </w:t>
            </w:r>
            <w:r>
              <w:rPr>
                <w:rStyle w:val="Style14"/>
                <w:iCs/>
                <w:sz w:val="26"/>
                <w:szCs w:val="26"/>
              </w:rPr>
              <w:t>ИСМ РГ-00-017.03-23 Регламент допуска подрядных организаций и командированного персонала на объекты «АО «Сахаэнерго».</w:t>
            </w:r>
            <w:r>
              <w:rPr>
                <w:rStyle w:val="Style14"/>
                <w:sz w:val="26"/>
                <w:szCs w:val="26"/>
              </w:rPr>
              <w:tab/>
              <w:t>16</w:t>
            </w:r>
          </w:hyperlink>
          <w:r>
            <w:rPr>
              <w:rStyle w:val="Style14"/>
              <w:sz w:val="26"/>
              <w:szCs w:val="26"/>
            </w:rPr>
            <w:fldChar w:fldCharType="end"/>
          </w:r>
        </w:p>
      </w:sdtContent>
    </w:sdt>
    <w:p>
      <w:pPr>
        <w:pStyle w:val="Normal"/>
        <w:overflowPunct w:val="false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Heading1"/>
        <w:keepLines/>
        <w:ind w:left="357" w:hanging="357"/>
        <w:jc w:val="center"/>
        <w:rPr>
          <w:caps/>
          <w:lang w:val="ru-RU"/>
        </w:rPr>
      </w:pPr>
      <w:r>
        <w:rPr>
          <w:caps/>
          <w:lang w:val="ru-RU"/>
        </w:rPr>
      </w:r>
      <w:r>
        <w:br w:type="page"/>
      </w:r>
    </w:p>
    <w:p>
      <w:pPr>
        <w:pStyle w:val="Heading2"/>
        <w:numPr>
          <w:ilvl w:val="0"/>
          <w:numId w:val="7"/>
        </w:numPr>
        <w:rPr>
          <w:lang w:val="ru-RU"/>
        </w:rPr>
      </w:pPr>
      <w:bookmarkStart w:id="0" w:name="__RefHeading___Toc1427_3389930708"/>
      <w:bookmarkStart w:id="1" w:name="_Toc196483691"/>
      <w:bookmarkStart w:id="2" w:name="_Toc54643694"/>
      <w:bookmarkStart w:id="3" w:name="_Toc209528221"/>
      <w:bookmarkEnd w:id="0"/>
      <w:r>
        <w:rPr>
          <w:lang w:val="ru-RU"/>
        </w:rPr>
        <w:t>Общие сведения</w:t>
      </w:r>
      <w:bookmarkEnd w:id="1"/>
      <w:bookmarkEnd w:id="2"/>
      <w:bookmarkEnd w:id="3"/>
    </w:p>
    <w:p>
      <w:pPr>
        <w:pStyle w:val="ListParagraph"/>
        <w:numPr>
          <w:ilvl w:val="1"/>
          <w:numId w:val="7"/>
        </w:numPr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__RefHeading___Toc1429_3389930708"/>
      <w:bookmarkStart w:id="5" w:name="_Toc209528222"/>
      <w:bookmarkEnd w:id="4"/>
      <w:r>
        <w:rPr>
          <w:rFonts w:cs="Times New Roman" w:ascii="Times New Roman" w:hAnsi="Times New Roman"/>
          <w:sz w:val="26"/>
          <w:szCs w:val="26"/>
        </w:rPr>
        <w:t>Обозначения и сокращения</w:t>
      </w:r>
      <w:bookmarkEnd w:id="5"/>
    </w:p>
    <w:tbl>
      <w:tblPr>
        <w:tblW w:w="9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59"/>
        <w:gridCol w:w="8700"/>
      </w:tblGrid>
      <w:tr>
        <w:trPr>
          <w:cantSplit w:val="true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ПК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Производственный контроль</w:t>
            </w:r>
          </w:p>
        </w:tc>
      </w:tr>
      <w:tr>
        <w:trPr>
          <w:cantSplit w:val="true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ТТ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Технические требования</w:t>
            </w:r>
          </w:p>
        </w:tc>
      </w:tr>
    </w:tbl>
    <w:p>
      <w:pPr>
        <w:pStyle w:val="Heading2"/>
        <w:numPr>
          <w:ilvl w:val="1"/>
          <w:numId w:val="7"/>
        </w:numPr>
        <w:rPr>
          <w:b w:val="false"/>
          <w:sz w:val="26"/>
          <w:szCs w:val="26"/>
        </w:rPr>
      </w:pPr>
      <w:bookmarkStart w:id="6" w:name="__RefHeading___Toc1431_3389930708"/>
      <w:bookmarkStart w:id="7" w:name="_Toc209528223"/>
      <w:bookmarkEnd w:id="6"/>
      <w:r>
        <w:rPr>
          <w:b w:val="false"/>
          <w:sz w:val="26"/>
          <w:szCs w:val="26"/>
        </w:rPr>
        <w:t>Наименование закупаемой продукции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Fonts w:eastAsia="Calibri"/>
          <w:sz w:val="26"/>
          <w:szCs w:val="26"/>
          <w:u w:val="single"/>
          <w:lang w:eastAsia="x-none"/>
        </w:rPr>
        <w:t>«ОКПД2 — 71.20.19.130. Производственный контроль</w:t>
      </w: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u w:val="single"/>
          <w:shd w:fill="auto" w:val="clear"/>
          <w:lang w:eastAsia="x-none"/>
        </w:rPr>
        <w:t xml:space="preserve"> на рабочих местах АО «Сахаэнерго»</w:t>
      </w:r>
    </w:p>
    <w:p>
      <w:pPr>
        <w:pStyle w:val="Normal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numPr>
          <w:ilvl w:val="1"/>
          <w:numId w:val="7"/>
        </w:numPr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bookmarkStart w:id="8" w:name="__RefHeading___Toc1433_3389930708"/>
      <w:bookmarkStart w:id="9" w:name="_Toc209528224"/>
      <w:bookmarkEnd w:id="8"/>
      <w:r>
        <w:rPr>
          <w:rFonts w:cs="Times New Roman" w:ascii="Times New Roman" w:hAnsi="Times New Roman"/>
          <w:bCs/>
          <w:sz w:val="26"/>
          <w:szCs w:val="26"/>
        </w:rPr>
        <w:t>Цель оказания услуг</w:t>
      </w:r>
      <w:bookmarkEnd w:id="9"/>
    </w:p>
    <w:p>
      <w:pPr>
        <w:pStyle w:val="Normal"/>
        <w:ind w:left="0" w:right="0" w:firstLine="680"/>
        <w:jc w:val="both"/>
        <w:rPr/>
      </w:pPr>
      <w:r>
        <w:rPr>
          <w:sz w:val="26"/>
          <w:szCs w:val="26"/>
        </w:rPr>
        <w:t>Проведение лабораторных исследований и испытаний, за соблюдением санитарных правил и выполнением санитарно-противоэпидемических (профилактических) мероприятий в процессе производства на рабочих местах АО «Сахаэнерго» в рамках производственного контроля  в соответствии с Федеральным законом от 30.03.1999 года № 52-ФЗ «О санитарно-эпидемиологическом благополучии населения».</w:t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rPr>
          <w:sz w:val="26"/>
          <w:szCs w:val="26"/>
          <w:lang w:val="ru-RU"/>
        </w:rPr>
      </w:pPr>
      <w:bookmarkStart w:id="10" w:name="__RefHeading___Toc1435_3389930708"/>
      <w:bookmarkStart w:id="11" w:name="_Toc196483692"/>
      <w:bookmarkStart w:id="12" w:name="_Toc54643699"/>
      <w:bookmarkStart w:id="13" w:name="_Toc209528225"/>
      <w:bookmarkEnd w:id="10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11"/>
      <w:bookmarkEnd w:id="12"/>
      <w:bookmarkEnd w:id="13"/>
    </w:p>
    <w:tbl>
      <w:tblPr>
        <w:tblW w:w="99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159"/>
        <w:gridCol w:w="2924"/>
        <w:gridCol w:w="5831"/>
      </w:tblGrid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Исполнительная дирекция АО Сахаэнерго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677001, Республика Саха (Якутия), г.Якутск, пер.Энергетиков 2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Производственный центр АО Сахаэнерго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77001, Республика Саха (Якутия), г.Якутск, Беринга 42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с. Тобуя, с. Юрян, с. Лекечен, с. Чкалово, с. Тойон-Ары, с. Исит, с. Кытыл-Дюра, с. Синск, дирекция, цеха, ДЭС, гаражи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 Чагда, с. Усть-Миль, с. Белькачи, с. Троицк, с. Эжанцы, с. Кутана, с. Верхняя Амга, с. Угоян, с. Улу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Янские Электрические сети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78540, Республика Саха (Якутия),  Усть-Янский район, п. Депутатский, ул.Энергетическая, 1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 Депутатский, с. Хайыр, п.Усть-Куйга,  с. Тумат, п. Нижнеянск, с. Юкагир, с. Усть – Янск, с. Сайылык, с. Казачье, АДЭС с. Уянди.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Булунские Электрические сети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678400, Республика Саха (Якутия), Булунский район, п.Тикси, ул.Морская д.5/1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 Тикси, с. Усть-Оленек, с. Сиктях, с. Таймылыр, с. Быков Мыс, с. Намы, с. Кюсюр, п. Тикси-3, с Найба.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Верхоянские Электрические сети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678500  Республика Саха (Якутия)   Верхоянский район, п.Батагай, ул.Ленина, 1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 Батагай, г.Верхоянск, с.Мачах, с.Барылас, с.Сысы-Мейите, с.Суордах, с.Юнкюр, с.Осохтох, с.Черюмче, с.Хайысардах, с.Табалах, с.Столбы, с.Токума, с.Борулах, с.Дулгалах, с.Арылах, с.Сайды, с.Бетенкес, с.Алысардах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Кобяйские Электрические сети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678300, Республика Саха(Якутия), Кобяйский район, п.Сангары, ул.Ленина д.38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 Сангар, с. Кальвица, с. Куокуй (Аргас), с. Ситте, с. Чагда, с. Арыктах, с. Люксюгюн, с. Тыайа, с. Кобяй, с. Батамай, с.Себян-Кюель, с.Сегян-Кюель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Олёкминский РЭС,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678100, Республика Саха (Якутия), г.Олёкминск, пер. Мелиораторов 21а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Олекминск, ДЭС с.Токко, с.Тяня, с.Бясь-Кюель, с.Куду-Кюель, с.Дабан, с.Дельгей, п.Иннях, п.Марха, с. Олом, с.Урицкое, с.Чапаево, с.Даппарай, с.Малыкан, с.Мача, с.Саныяхтах, п.Тинная, с. Натора, с. Турукта, с. Хамра, с. Толон, с. Иннялы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Среднеколымский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678790,  Республика Саха (Якутия),  г.Среднеколымск, ул.Петрянкиных,7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г. Среднеколымск, с.Суччино, с.Эбях, с.Хатынгнах, с.Сылгы-Ытар, с.Сватай, с.Ойусардах, с.Березовка, с.Аргахтах, с.Алеко-Кюель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Зырянский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677870, Республика Саха (Якутия), Верхнеколымский район, п.Зырянка, ул.Пристанская, 3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 Зырянка, с. Угольное, с. Утая, КСК, с. Усун-Кюель, с. Нелемное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Жиганский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678330, Республика Саха (Якутия), Жиганский район, п.Жиганск, ул.Октябрьская 53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 Жиганск, с. Кыстатыам, с. Бестях, с. Баханай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Момский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678760, Республика Саха (Якутия), Момский район, п.Хонуу, ул.Лесная д.5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с. Хонуу, с. Чумпу-Кытыл (Тебюлях), с. Кулун-Елбют, с. Сасыр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Белогорский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678890, Республика Саха (Якутия), Абыйский район, п.Белая Гора, пер.Дизельный 2/2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 Белая Гора, с. Сутуруоха, с. Оттох-Атах, с. Кенг-Кюель, с. Кебергене, с. Абый, с. Сыаганнах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Нижнеколымский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678830, Республика Саха (Якутия), Нижнеколымский район, п. Черский, ул.Гагарина, 37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 Черский, с.Колымское, с.Походск, с.Андрюшкино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Оймяконский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Оймяконский РЭС АО "Сахаэнерго", 678750, Республика Саха (Якутия), Оймяконский район, п. Томтор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п.Томтор, с. Тополиное, с.Теплый ключ, с. Развилка, с. Охотский перевоз, с.Ючюгей, с.Куйдусун, с.Орто-Балаган, с.Оймякон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Оленёкский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678480, Республика Саха (Якутия), Оленёкский район, п.Оленёк, ул.Босскорова, 44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с. Оленек, с. Эйик, с. Жилинда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Чокурдахский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678800, Республика Саха (Якутия), Аллайховский район, п.Чокурдах, ул.О.Кальвица,35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п. Чокурдах, с. Нычалах (Быянгныр), с. Чкалов (Берелех), с. Русское Устье, с. Оленегорск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Эвено-Бытантайский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678580, Республика Саха (Якутия),Эвено- Бытантайский район, п.Батагай-Алыта, ул. Северная 14/1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с. Батагай-Алыта (Саккырыр),  п.Кустур, п.Джаргалах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  <w:tr>
        <w:trPr>
          <w:trHeight w:val="881" w:hRule="atLeast"/>
        </w:trPr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Анабарский РЭС АО "Сахаэнерго"</w:t>
            </w:r>
          </w:p>
        </w:tc>
        <w:tc>
          <w:tcPr>
            <w:tcW w:w="5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678440, Республика Саха (Якутия), Анабарский район, п. Саскылах, ул. Молодёжная – 4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ДЭС  с. Саскылах, с.Юрюнг-Хая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дирекция, цеха, ДЭС, гаражи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Heading1"/>
        <w:numPr>
          <w:ilvl w:val="0"/>
          <w:numId w:val="7"/>
        </w:numPr>
        <w:rPr>
          <w:iCs/>
          <w:caps/>
          <w:lang w:val="ru-RU"/>
        </w:rPr>
      </w:pPr>
      <w:bookmarkStart w:id="14" w:name="__RefHeading___Toc1437_3389930708"/>
      <w:bookmarkStart w:id="15" w:name="_Toc54643702"/>
      <w:bookmarkStart w:id="16" w:name="_Toc209528226"/>
      <w:bookmarkStart w:id="17" w:name="_Toc51339693"/>
      <w:bookmarkStart w:id="18" w:name="_Toc196483693"/>
      <w:bookmarkStart w:id="19" w:name="_Toc50125126"/>
      <w:bookmarkEnd w:id="14"/>
      <w:bookmarkEnd w:id="19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5"/>
      <w:bookmarkEnd w:id="16"/>
      <w:bookmarkEnd w:id="17"/>
      <w:bookmarkEnd w:id="18"/>
    </w:p>
    <w:p>
      <w:pPr>
        <w:pStyle w:val="Heading4"/>
        <w:numPr>
          <w:ilvl w:val="1"/>
          <w:numId w:val="7"/>
        </w:numPr>
        <w:tabs>
          <w:tab w:val="clear" w:pos="0"/>
        </w:tabs>
        <w:rPr>
          <w:lang w:val="ru-RU"/>
        </w:rPr>
      </w:pPr>
      <w:bookmarkStart w:id="20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</w:p>
    <w:p>
      <w:pPr>
        <w:pStyle w:val="Heading3"/>
        <w:numPr>
          <w:ilvl w:val="2"/>
          <w:numId w:val="7"/>
        </w:numPr>
        <w:tabs>
          <w:tab w:val="clear" w:pos="0"/>
        </w:tabs>
        <w:rPr>
          <w:lang w:val="ru-RU"/>
        </w:rPr>
      </w:pPr>
      <w:bookmarkStart w:id="21" w:name="__RefHeading___Toc1439_3389930708"/>
      <w:bookmarkStart w:id="22" w:name="_Toc54643704"/>
      <w:bookmarkStart w:id="23" w:name="_Toc196483694"/>
      <w:bookmarkStart w:id="24" w:name="_Toc209528227"/>
      <w:bookmarkEnd w:id="21"/>
      <w:r>
        <w:rPr>
          <w:lang w:val="ru-RU"/>
        </w:rPr>
        <w:t>Требования к перечню и объему услуг</w:t>
      </w:r>
      <w:bookmarkEnd w:id="22"/>
      <w:bookmarkEnd w:id="23"/>
      <w:bookmarkEnd w:id="2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5" w:name="__RefHeading___Toc1441_3389930708"/>
      <w:bookmarkStart w:id="26" w:name="_Toc196483695"/>
      <w:bookmarkStart w:id="27" w:name="_Toc54643705"/>
      <w:bookmarkStart w:id="28" w:name="_Toc209528228"/>
      <w:bookmarkStart w:id="29" w:name="_Toc51339695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и объем оказываемых услуг</w:t>
      </w:r>
      <w:bookmarkEnd w:id="26"/>
      <w:bookmarkEnd w:id="27"/>
      <w:bookmarkEnd w:id="28"/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932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89"/>
        <w:gridCol w:w="5294"/>
        <w:gridCol w:w="4049"/>
      </w:tblGrid>
      <w:tr>
        <w:trPr/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Количество измерений</w:t>
            </w:r>
          </w:p>
        </w:tc>
      </w:tr>
      <w:tr>
        <w:trPr/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Исполнительная дирекция АО Сахаэнерго, </w:t>
            </w:r>
            <w:r>
              <w:rPr>
                <w:rFonts w:eastAsia="Calibri"/>
                <w:sz w:val="22"/>
                <w:szCs w:val="22"/>
                <w:lang w:eastAsia="en-US"/>
              </w:rPr>
              <w:t>677001, Республика Саха (Якутия), г.Якутск, пер.Энергетиков 2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Объекты: Дирекция, управления, службы, отделы, группы.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954 измерений в соответствии с Приложением №1 к Техническим требованиям</w:t>
            </w:r>
          </w:p>
        </w:tc>
      </w:tr>
      <w:tr>
        <w:trPr>
          <w:trHeight w:val="3169" w:hRule="atLeast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Производственный центр АО Сахаэнерго, </w:t>
            </w:r>
            <w:r>
              <w:rPr>
                <w:rFonts w:eastAsia="Calibri"/>
                <w:sz w:val="22"/>
                <w:szCs w:val="22"/>
                <w:lang w:eastAsia="en-US"/>
              </w:rPr>
              <w:t>677001, Республика Саха (Якутия), г.Якутск, Беринга 42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с. Тобуя, с. Юрян, с. Лекечен, с. Чкалово, с. Тойон-Ары, с. Исит, с. Кытыл-Дюра, с. Синск, дирекция, цеха, ДЭС, гаражи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 Чагда, с. Усть-Миль, с. Белькачи, с. Троицк, с. Эжанцы, с. Кутана, с. Верхняя Амга, с. Угоян, с. Улу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1022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Янские Электрические сети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678540, Республика Саха (Якутия),  Усть-Янский район, п. Депутатский, ул.Энергетическая, 1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 Депутатский, с. Хайыр, п.Усть-Куйга,  с. Тумат, п. Нижнеянск, с. Юкагир, с. Усть – Янск, с. Сайылык, с. Казачье, АДЭС с. Уянди.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1082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Булунские Электрические сети АО "Сахаэнерго",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678400, Республика Саха (Якутия), Булунский район, п.Тикси, ул.Морская д.5/1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 Тикси, с. Усть-Оленек, с. Сиктях, с. Таймылыр, с. Быков Мыс, с. Намы, с. Кюсюр, п. Тикси-3, с Найба.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643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Верхоянские Электрические сети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678500  Республика Саха (Якутия)   Верхоянский район, п.Батагай, ул.Ленина, 1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 Батагай, г.Верхоянск, с.Мачах, с.Барылас, с.Сысы-Мейите, с.Суордах, с.Юнкюр, с.Осохтох, с.Черюмче, с.Хайысардах, с.Табалах, с.Столбы, с.Токума, с.Борулах, с.Дулгалах, с.Арылах, с.Сайды, с.Бетенкес, с.Алысардах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1048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Кобяйские Электрические сети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678300, Республика Саха(Якутия), Кобяйский район, п.Сангары, ул.Ленина д.38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 Сангар, с. Кальвица, с. Куокуй (Аргас), с. Ситте, с. Чагда, с. Арыктах, с. Люксюгюн, с. Тыайа, с. Кобяй, с. Батамай, с.Себян-Кюель, с.Сегян-Кюель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820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Олёкминский РЭС,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678100, Республика Саха (Якутия), г.Олёкминск, пер. Мелиораторов 21а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Олекминск, ДЭС с.Токко, с.Тяня, с.Бясь-Кюель, с.Куду-Кюель, с.Дабан, с.Дельгей, п.Иннях, п.Марха, с. Олом, с.Урицкое, с.Чапаево, с.Даппарай, с.Малыкан, с.Мача, с.Саныяхтах, п.Тинная, с. Натора, с. Турукта, с. Хамра, с. Толон, с. Иннялы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817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Среднеколымский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678790,  Республика Саха (Якутия),  г.Среднеколымск, ул.Петрянкиных,7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г. Среднеколымск, с.Суччино, с.Эбях, с.Хатынгнах, с.Сылгы-Ытар, с.Сватай, с.Ойусардах, с.Березовка, с.Аргахтах, с.Алеко-Кюель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568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Зырянский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677870, Республика Саха (Якутия), Верхнеколымский район, п.Зырянка, ул.Пристанская, 3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 Зырянка, с. Угольное, с. Утая, КСК, с. Усун-Кюель, с. Нелемное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390 измерений в соответствии с Приложением №1 к Техническим требованиям</w:t>
            </w:r>
          </w:p>
        </w:tc>
      </w:tr>
      <w:tr>
        <w:trPr>
          <w:trHeight w:val="788" w:hRule="atLeast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Жиганский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678330, Республика Саха (Якутия), Жиганский район, п.Жиганск, ул.Октябрьская 53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 Жиганск, с. Кыстатыам, с. Бестях, с. Баханай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306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Момский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678760, Республика Саха (Якутия), Момский район, п.Хонуу, ул.Лесная д.5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с. Хонуу, с. Чумпу-Кытыл (Тебюлях), с. Кулун-Елбют, с. Сасыр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258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Белогорский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678890, Республика Саха (Якутия), Абыйский район, п.Белая Гора, пер.Дизельный 2/2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 Белая Гора, с. Сутуруоха, с. Оттох-Атах, с. Кенг-Кюель, с. Кебергене, с. Абый, с. Сыаганнах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347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Нижнеколымский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678830, Республика Саха (Якутия), Нижнеколымский район, п. Черский, ул.Гагарина, 37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 Черский, с.Колымское, с.Походск, с.Андрюшкино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294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Оймяконский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678750, Республика Саха (Якутия), Оймяконский район, п. Томтор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п.Томтор, с. Тополиное, с.Теплый ключ, с. Развилка, с. Охотский перевоз, с.Ючюгей, с.Куйдусун, с.Орто-Балаган, с.Оймякон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443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Оленёкский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678480, Республика Саха (Якутия), Оленёкский район, п.Оленёк, ул.Босскорова, 44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с. Оленек, с. Эйик, с. Жилинда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817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Чокурдахский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678800, Республика Саха (Якутия), Аллайховский район, п.Чокурдах, ул.О.Кальвица,35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п. Чокурдах, с. Нычалах (Быянгныр), с. Чкалов (Берелех), с. Русское Устье, с. Оленегорск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279 измерений в соответствии с Приложением №1 к Техническим требованиям</w:t>
            </w:r>
          </w:p>
        </w:tc>
      </w:tr>
      <w:tr>
        <w:trPr>
          <w:trHeight w:val="3285" w:hRule="atLeast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Эвено-Бытантайский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678580, Республика Саха (Якутия),Эвено- Бытантайский район, п.Батагай-Алыта, ул. Северная 14/1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с. Батагай-Алыта (Саккырыр),  п.Кустур, п.Джаргалах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218 измерений в соответствии с Приложением №1 к Техническим требованиям</w:t>
            </w:r>
          </w:p>
        </w:tc>
      </w:tr>
      <w:tr>
        <w:trPr/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Анабарский РЭС АО "Сахаэнерго", </w:t>
            </w:r>
            <w:r>
              <w:rPr>
                <w:rFonts w:eastAsia="Calibri"/>
                <w:sz w:val="22"/>
                <w:szCs w:val="22"/>
                <w:lang w:eastAsia="en-US"/>
              </w:rPr>
              <w:t>678440, Республика Саха (Якутия), Анабарский район, п. Саскылах, ул. Молодёжная – 4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ДЭС  с. Саскылах, с.Юрюнг-Хая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дирекция, цеха, ДЭС, гаражи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>643 измерений в соответствии с Приложением №1 к Техническим требованиям</w:t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left="0" w:right="0" w:firstLine="6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Примечание:</w:t>
      </w:r>
      <w:r>
        <w:rPr>
          <w:sz w:val="24"/>
          <w:szCs w:val="24"/>
        </w:rPr>
        <w:t xml:space="preserve"> Количество точек измерения и перечень объектов исследований, объем и кратность подлежит уточнению при фактическом выезде специалистов на рабочие места с учетом технологического производства и других производственных факторов в деятельности АО «Сахаэнерго».</w:t>
      </w:r>
    </w:p>
    <w:p>
      <w:pPr>
        <w:pStyle w:val="Normal"/>
        <w:jc w:val="both"/>
        <w:rPr/>
      </w:pPr>
      <w:r>
        <w:rPr/>
      </w:r>
    </w:p>
    <w:p>
      <w:pPr>
        <w:pStyle w:val="Heading1"/>
        <w:rPr>
          <w:b/>
          <w:bCs/>
          <w:sz w:val="24"/>
          <w:szCs w:val="24"/>
        </w:rPr>
      </w:pPr>
      <w:bookmarkStart w:id="30" w:name="__RefHeading___Toc1443_3389930708"/>
      <w:bookmarkEnd w:id="30"/>
      <w:r>
        <w:rPr>
          <w:b/>
          <w:bCs/>
          <w:sz w:val="24"/>
          <w:szCs w:val="24"/>
        </w:rPr>
        <w:t xml:space="preserve">Таблица 2.1. Лабораторные исследования в рамках Производственного контроля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60"/>
        <w:gridCol w:w="3460"/>
        <w:gridCol w:w="2860"/>
      </w:tblGrid>
      <w:tr>
        <w:trPr/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Производственные факторы подлежащие лабораторным исследованиям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Исследуемые показатели, определение количества контрольных точек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Кратность проведения исследования</w:t>
            </w:r>
          </w:p>
        </w:tc>
      </w:tr>
      <w:tr>
        <w:trPr/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фактор и АПФД</w:t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 рабочей зоны электрогазосварщиков (согласно Приложению №1 к ТТ):</w:t>
            </w:r>
          </w:p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азота оксид;</w:t>
            </w:r>
          </w:p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железа оксид (III) Ди железа триоксид;</w:t>
            </w:r>
          </w:p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марганец в сварочных аэрозолях при его содержании оксидах: -до 20%;</w:t>
            </w:r>
          </w:p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массовая концентрация озона;</w:t>
            </w:r>
          </w:p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массовая концентрация оксида углерода</w:t>
            </w:r>
          </w:p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>
        <w:trPr/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Шум;</w:t>
            </w:r>
          </w:p>
          <w:p>
            <w:pPr>
              <w:pStyle w:val="Style3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Вибрация общая.</w:t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Промышленные цеха:</w:t>
            </w:r>
          </w:p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места с оборудованием издающим производственный шум вибрацию (механизмы, устройства, аппараты пр. промышленные установки которые являются источниками физических факторов воздействия на человека)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>
        <w:trPr/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Световая среда</w:t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Освещенность производственных помещений предприятия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>
        <w:trPr/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места пользователей ПЭВМ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>
        <w:trPr/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Тяжесть и напряженность труда</w:t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тяжести и напряженности труда работников согласно Приложению №1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>
        <w:trPr/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Микроклимат</w:t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воздуха, относительная влажность, скорость движения воздуха.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 (в холодное и теплое время года)</w:t>
            </w:r>
          </w:p>
        </w:tc>
      </w:tr>
    </w:tbl>
    <w:p>
      <w:pPr>
        <w:pStyle w:val="Heading1"/>
        <w:ind w:left="1224" w:hanging="0"/>
        <w:rPr/>
      </w:pPr>
      <w:bookmarkStart w:id="31" w:name="__RefHeading___Toc1445_3389930708"/>
      <w:bookmarkEnd w:id="31"/>
      <w:r>
        <w:rPr/>
        <w:t xml:space="preserve">  </w:t>
      </w:r>
    </w:p>
    <w:p>
      <w:pPr>
        <w:pStyle w:val="Heading3"/>
        <w:numPr>
          <w:ilvl w:val="2"/>
          <w:numId w:val="7"/>
        </w:numPr>
        <w:tabs>
          <w:tab w:val="clear" w:pos="0"/>
        </w:tabs>
        <w:rPr>
          <w:lang w:val="ru-RU"/>
        </w:rPr>
      </w:pPr>
      <w:bookmarkStart w:id="32" w:name="__RefHeading___Toc1447_3389930708"/>
      <w:bookmarkStart w:id="33" w:name="_Toc54643706"/>
      <w:bookmarkStart w:id="34" w:name="_Toc209528229"/>
      <w:bookmarkStart w:id="35" w:name="_Toc196483696"/>
      <w:bookmarkStart w:id="36" w:name="_Toc51339696"/>
      <w:bookmarkEnd w:id="32"/>
      <w:r>
        <w:rPr>
          <w:lang w:val="ru-RU"/>
        </w:rPr>
        <w:t xml:space="preserve">Требования </w:t>
      </w:r>
      <w:bookmarkEnd w:id="36"/>
      <w:r>
        <w:rPr>
          <w:lang w:val="ru-RU"/>
        </w:rPr>
        <w:t>к срокам оказания услуг</w:t>
      </w:r>
      <w:bookmarkEnd w:id="33"/>
      <w:bookmarkEnd w:id="34"/>
      <w:bookmarkEnd w:id="3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7" w:name="__RefHeading___Toc1449_3389930708"/>
      <w:bookmarkStart w:id="38" w:name="_Toc209528230"/>
      <w:bookmarkStart w:id="39" w:name="_Toc196483697"/>
      <w:bookmarkStart w:id="40" w:name="_Toc54643707"/>
      <w:bookmarkStart w:id="41" w:name="_Toc51339697"/>
      <w:bookmarkStart w:id="42" w:name="_Toc50125127"/>
      <w:bookmarkStart w:id="43" w:name="_Toc501251261"/>
      <w:bookmarkEnd w:id="37"/>
      <w:bookmarkEnd w:id="4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1"/>
      <w:bookmarkEnd w:id="42"/>
      <w:bookmarkEnd w:id="44"/>
      <w:r>
        <w:rPr>
          <w:sz w:val="24"/>
          <w:szCs w:val="24"/>
          <w:lang w:val="ru-RU"/>
        </w:rPr>
        <w:t>оказания услуг</w:t>
      </w:r>
      <w:bookmarkEnd w:id="38"/>
      <w:bookmarkEnd w:id="39"/>
      <w:bookmarkEnd w:id="40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40"/>
        <w:gridCol w:w="3504"/>
        <w:gridCol w:w="2835"/>
        <w:gridCol w:w="2696"/>
      </w:tblGrid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лабораторных исследований и испытаний, за соблюдением санитарных правил и выполнением санитарно-противоэпидемических (профилактических) мероприятий в процессе производства на рабочих местах АО «Сахаэнерго» в рамках производственного контроля в соответствии с Федеральным законом от 30.03.1999 года № 52-ФЗ «О санитарно-эпидемиологическом благополучии населения»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12.01.202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4"/>
                <w:szCs w:val="24"/>
              </w:rPr>
              <w:t>31.12.202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 производственного контроля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12.01.202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4"/>
                <w:szCs w:val="24"/>
              </w:rPr>
              <w:t>31.12.202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7"/>
        </w:numPr>
        <w:tabs>
          <w:tab w:val="clear" w:pos="0"/>
        </w:tabs>
        <w:rPr/>
      </w:pPr>
      <w:bookmarkStart w:id="45" w:name="_Toc54643709"/>
      <w:bookmarkStart w:id="46" w:name="_Toc51339698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7"/>
    </w:p>
    <w:p>
      <w:pPr>
        <w:pStyle w:val="Heading1"/>
        <w:keepLines/>
        <w:tabs>
          <w:tab w:val="clear" w:pos="0"/>
        </w:tabs>
        <w:spacing w:before="227" w:after="113"/>
        <w:ind w:left="0" w:hanging="0"/>
        <w:rPr>
          <w:sz w:val="24"/>
          <w:szCs w:val="24"/>
        </w:rPr>
      </w:pPr>
      <w:bookmarkStart w:id="49" w:name="__RefHeading___Toc1451_3389930708"/>
      <w:bookmarkStart w:id="50" w:name="_Toc196483698"/>
      <w:bookmarkStart w:id="51" w:name="_Toc209528231"/>
      <w:bookmarkEnd w:id="4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6"/>
      <w:r>
        <w:rPr>
          <w:sz w:val="24"/>
          <w:szCs w:val="24"/>
          <w:lang w:val="ru-RU"/>
        </w:rPr>
        <w:t>качеству услуг</w:t>
      </w:r>
      <w:bookmarkEnd w:id="45"/>
      <w:bookmarkEnd w:id="50"/>
      <w:bookmarkEnd w:id="51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 (позиции № 1-4 Таблицы 2 «Перечень и объем оказываемых услуг»): </w:t>
      </w:r>
      <w:r>
        <w:rPr>
          <w:sz w:val="24"/>
          <w:szCs w:val="24"/>
          <w:u w:val="single"/>
        </w:rPr>
        <w:t>«ОКПД2 — 71.20.19.130. Производственный контроль</w:t>
      </w:r>
      <w:r>
        <w:rPr>
          <w:rStyle w:val="Style8"/>
          <w:rFonts w:eastAsia="Calibri"/>
          <w:b w:val="false"/>
          <w:i w:val="false"/>
          <w:color w:val="000000"/>
          <w:sz w:val="24"/>
          <w:szCs w:val="24"/>
          <w:u w:val="single"/>
          <w:shd w:fill="auto" w:val="clear"/>
          <w:lang w:eastAsia="x-none"/>
        </w:rPr>
        <w:t xml:space="preserve"> на рабочих местах АО «Сахаэнерго»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488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19"/>
        <w:gridCol w:w="5731"/>
        <w:gridCol w:w="2462"/>
        <w:gridCol w:w="2929"/>
        <w:gridCol w:w="2744"/>
      </w:tblGrid>
      <w:tr>
        <w:trPr/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52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2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7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1.1.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Настоящие ТТ устанавливают объем, состав и содержание услуг по проведению производственного контроля на рабочих местах АО «Сахаэнерго.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1.2.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Производственный контроль проводится в соответсвии: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Федерального закона N 52-ФЗ от 30 марта 1999 года "О санитарно-эпидемиологическом благополучии населения»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Санитарных правил СП 1.1.1058-01 от 10.07.2001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1.3.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Количество точек измерения и перечень объектов исследований, объем и кратность подлежит уточнению при фактическом выезде специалистов на рабочие места с учетом технологического производства и других производственных факторов в деятельности АО «Сахаэнерго».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1.4.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 количества лабораторных исследований воздуха в рабочей зоне, измерений физических факторов устанавливаются специалистом на месте их проведения, что связано: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1) с возможными изменениями количества рабочих мест, используемого оборудования;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2) измерения показателей микроклимата – СанПиН 1.2.3685-21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есть перечень объектов исследований, объем и кратность могут меняться в зависимости от ситуации: при изменении вида деятельности, технологии производства, других существенных изменениях в деятельности организации.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</w:r>
          </w:p>
        </w:tc>
      </w:tr>
      <w:tr>
        <w:trPr>
          <w:trHeight w:val="440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2.1.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ПК, указанные в таблице №2 настоящих ТТ, в полном объеме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2.2.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ПК в сроки, указанные в таблице №3 настоящих ТТ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2.3.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>
                <w:rFonts w:ascii="Times New Roman" w:hAnsi="Times New Roman"/>
                <w:color w:val="000000"/>
                <w:lang w:bidi="ru-RU"/>
              </w:rPr>
              <w:t>Исполнитель проводит ПК с выездом на объект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3.1.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заблаговременно направляет в адрес Заказчика письмо с предоставлением копий документов, согласно Приложению №1 ИСМ РГ-00-017.03-23 «Регламент допуска подрядных организаций и командированного персонала на объекты «АО «Сахаэнерго»»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3.2.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По прибытию в Филиал Заказчика, Исполнитель проходит инструктаж в административном здании Филиала Заказчика и получает допуск на объекты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3.3.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оказания услуг оформляются протоколом о проведённых лабораторных и инструментальных исследованиях и замерах.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3.4.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обязуется: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Разработать программу производственного контроля;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Провести контроль факторов среды;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Предоставить протоколы проведенных измерений и результаты контроля факторов рабочей среды;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При выявлении отклонений значений от установленных норм, подготовить рекомендации по их устранению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4.1.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426" w:leader="none"/>
                <w:tab w:val="left" w:pos="993" w:leader="none"/>
              </w:tabs>
              <w:ind w:left="0" w:hanging="0"/>
              <w:rPr/>
            </w:pPr>
            <w:r>
              <w:rPr>
                <w:rFonts w:ascii="Times New Roman" w:hAnsi="Times New Roman"/>
                <w:color w:val="000000"/>
              </w:rPr>
              <w:t>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4.2.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  <w:tab w:val="left" w:pos="426" w:leader="none"/>
                <w:tab w:val="left" w:pos="993" w:leader="none"/>
              </w:tabs>
              <w:ind w:left="0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пунктами 1 - 11 и 15 - 23части 3 статьи 13 Федерального закона от 28.12.2013 № 426-ФЗ.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x-none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x-none"/>
              </w:rPr>
              <w:t>5.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5.1.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с Приложением №1 </w:t>
            </w:r>
            <w:r>
              <w:rPr>
                <w:color w:val="000000"/>
                <w:sz w:val="24"/>
                <w:szCs w:val="24"/>
                <w:lang w:bidi="ru-RU"/>
              </w:rPr>
              <w:t>ИСМ РГ-00-017.03-23 «Регламент допуска подрядных организаций и командированного персонала на объекты «АО «Сахаэнерго</w:t>
            </w:r>
            <w:bookmarkStart w:id="53" w:name="_GoBack2_Копия_1"/>
            <w:bookmarkEnd w:id="53"/>
            <w:r>
              <w:rPr>
                <w:color w:val="000000"/>
                <w:sz w:val="24"/>
                <w:szCs w:val="24"/>
                <w:lang w:bidi="ru-RU"/>
              </w:rPr>
              <w:t>»»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5.2.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Наличие в организации  минимум одного эксперта с высшим образованием по специальности «общая гигиена», «гигиена труда», «санитарно-гигиенические лабораторные исследования»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5.3.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</w:tabs>
              <w:spacing w:before="60" w:after="0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Исполнитель </w:t>
            </w:r>
            <w:r>
              <w:rPr>
                <w:color w:val="000000"/>
                <w:spacing w:val="2"/>
                <w:sz w:val="24"/>
                <w:szCs w:val="24"/>
                <w:lang w:bidi="ru-RU"/>
              </w:rPr>
              <w:t>обязан обеспечить свой персонал необходимыми средствами индивидуальной защиты (каска, очки, беруши (наушники)), спецодеждой и спецобувью в соответствии с типовыми отраслевыми нормами.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5.4.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</w:tabs>
              <w:spacing w:before="60" w:after="0"/>
              <w:rPr/>
            </w:pPr>
            <w:r>
              <w:rPr>
                <w:sz w:val="24"/>
                <w:szCs w:val="24"/>
              </w:rPr>
              <w:t>При проведении измерений физических, химических факторов, тяжести и напряженности трудового процесса использовать собственные средства измерений, прошедшие государственную поверку в установленные сроки</w:t>
            </w:r>
            <w:r>
              <w:rPr/>
              <w:t>;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6.1.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Результат работ должен соответствовать настоящим ТТ и условиям Договора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6.2.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предоставить план – график, по объектам с учетом выезда, выполнение работ по производственному контролю на рабочих местах Заказчика.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6.3.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и приемка Услуг по каждому этапу оформляется двусторонним Актом об оказании Услуг. Возможно предоставление актов в электронной форме через операторов электронного документооборота.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6.4.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предоставляет Протоколы измерений и исследований установленного образца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6.5.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предоставляет Экспертное заключение к Протоколам измерений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7.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044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7.1.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обнаружения, в том числе контролирующими органами, замечаний (ошибок) в оформлении протоколов инструментальных измерений, Исполнитель обязуется внести исправления в срок не больше срока, определённого контролирующими органами, но не позднее 1 месяца с момента информирования.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7.2.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7.3.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несет ответственность за качество оказания услуг в соответствии с нормативными правовыми, нормативно-техническими документами Ростехнадзора, ПТБ, ПОТ, ППБ и ПТЭ электрических станций и сетей.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7.4.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несет ответственность за достоверность и объективность предоставленной документации.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8.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lang w:eastAsia="x-none"/>
              </w:rPr>
            </w:pPr>
            <w:r>
              <w:rPr>
                <w:rFonts w:cs="Times New Roman" w:ascii="Times New Roman" w:hAnsi="Times New Roman"/>
                <w:b/>
                <w:lang w:eastAsia="x-none"/>
              </w:rPr>
              <w:t>8.1.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Приложением №1 </w:t>
            </w:r>
            <w:r>
              <w:rPr>
                <w:color w:val="000000"/>
                <w:sz w:val="24"/>
                <w:szCs w:val="24"/>
                <w:lang w:bidi="ru-RU"/>
              </w:rPr>
              <w:t>ИСМ РГ-00-017.03-23 «Регламент допуска подрядных организаций и командированного персонала на объекты «АО «Сахаэнерго</w:t>
            </w:r>
            <w:bookmarkStart w:id="54" w:name="_GoBack2"/>
            <w:bookmarkEnd w:id="54"/>
            <w:r>
              <w:rPr>
                <w:color w:val="000000"/>
                <w:sz w:val="24"/>
                <w:szCs w:val="24"/>
                <w:lang w:bidi="ru-RU"/>
              </w:rPr>
              <w:t>»»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7"/>
        </w:numPr>
        <w:tabs>
          <w:tab w:val="clear" w:pos="0"/>
        </w:tabs>
        <w:ind w:left="357" w:right="142" w:hanging="357"/>
        <w:jc w:val="center"/>
        <w:rPr/>
      </w:pPr>
      <w:bookmarkStart w:id="55" w:name="__RefHeading___Toc1453_3389930708"/>
      <w:bookmarkStart w:id="56" w:name="_Toc209528232"/>
      <w:bookmarkStart w:id="57" w:name="_Toc196483699"/>
      <w:bookmarkStart w:id="58" w:name="_Toc46743519"/>
      <w:bookmarkStart w:id="59" w:name="_Toc51339699"/>
      <w:bookmarkEnd w:id="55"/>
      <w:bookmarkEnd w:id="58"/>
      <w:bookmarkEnd w:id="59"/>
      <w:r>
        <w:rPr>
          <w:lang w:val="ru-RU"/>
        </w:rPr>
        <w:t>Требования</w:t>
      </w:r>
      <w:bookmarkStart w:id="60" w:name="_Toc54643710"/>
      <w:bookmarkStart w:id="61" w:name="_Toc53393312"/>
      <w:bookmarkStart w:id="62" w:name="_Toc53395937"/>
      <w:r>
        <w:rPr>
          <w:lang w:val="ru-RU"/>
        </w:rPr>
        <w:t xml:space="preserve"> к документации по ценообразованию</w:t>
      </w:r>
      <w:bookmarkEnd w:id="61"/>
      <w:bookmarkEnd w:id="62"/>
      <w:r>
        <w:rPr>
          <w:lang w:val="ru-RU"/>
        </w:rPr>
        <w:t xml:space="preserve"> на этапе закупки</w:t>
      </w:r>
      <w:bookmarkEnd w:id="56"/>
      <w:bookmarkEnd w:id="57"/>
      <w:bookmarkEnd w:id="6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left="0" w:right="0" w:firstLine="680"/>
        <w:contextualSpacing/>
        <w:jc w:val="both"/>
        <w:rPr/>
      </w:pPr>
      <w:r>
        <w:rPr>
          <w:sz w:val="24"/>
          <w:szCs w:val="24"/>
        </w:rPr>
        <w:t xml:space="preserve">3.1 </w:t>
      </w:r>
      <w:r>
        <w:rPr>
          <w:color w:val="000000"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left="0" w:right="0" w:firstLine="680"/>
        <w:contextualSpacing/>
        <w:jc w:val="both"/>
        <w:rPr/>
      </w:pPr>
      <w:r>
        <w:rPr>
          <w:sz w:val="24"/>
          <w:szCs w:val="24"/>
        </w:rPr>
        <w:t xml:space="preserve">3.2 </w:t>
      </w:r>
      <w:r>
        <w:rPr>
          <w:color w:val="000000"/>
          <w:sz w:val="24"/>
          <w:szCs w:val="24"/>
        </w:rPr>
        <w:t>Дополнительные документы по ценообразованию в состав заявки не включаются.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63" w:name="_Toc467435191"/>
      <w:bookmarkStart w:id="64" w:name="_Toc513396991"/>
      <w:bookmarkStart w:id="65" w:name="_Toc467435191"/>
      <w:bookmarkStart w:id="66" w:name="_Toc513396991"/>
      <w:bookmarkEnd w:id="65"/>
      <w:bookmarkEnd w:id="66"/>
    </w:p>
    <w:p>
      <w:pPr>
        <w:pStyle w:val="Heading1"/>
        <w:keepLines/>
        <w:numPr>
          <w:ilvl w:val="0"/>
          <w:numId w:val="7"/>
        </w:numPr>
        <w:tabs>
          <w:tab w:val="clear" w:pos="0"/>
        </w:tabs>
        <w:ind w:left="357" w:hanging="357"/>
        <w:jc w:val="center"/>
        <w:rPr>
          <w:iCs/>
          <w:lang w:val="ru-RU"/>
        </w:rPr>
      </w:pPr>
      <w:bookmarkStart w:id="67" w:name="__RefHeading___Toc1455_3389930708"/>
      <w:bookmarkStart w:id="68" w:name="_Toc196483700"/>
      <w:bookmarkStart w:id="69" w:name="_Toc209528233"/>
      <w:bookmarkEnd w:id="67"/>
      <w:r>
        <w:rPr>
          <w:iCs/>
          <w:lang w:val="ru-RU"/>
        </w:rPr>
        <w:t>Приложения</w:t>
      </w:r>
      <w:bookmarkEnd w:id="68"/>
      <w:bookmarkEnd w:id="69"/>
    </w:p>
    <w:p>
      <w:pPr>
        <w:pStyle w:val="Heading1"/>
        <w:keepLines/>
        <w:tabs>
          <w:tab w:val="clear" w:pos="0"/>
        </w:tabs>
        <w:spacing w:before="0" w:after="0"/>
        <w:ind w:left="0" w:right="0" w:firstLine="680"/>
        <w:jc w:val="both"/>
        <w:rPr>
          <w:u w:val="none"/>
        </w:rPr>
      </w:pPr>
      <w:bookmarkStart w:id="70" w:name="__RefHeading___Toc1457_3389930708"/>
      <w:bookmarkStart w:id="71" w:name="_Toc209528234"/>
      <w:bookmarkEnd w:id="70"/>
      <w:r>
        <w:rPr>
          <w:b w:val="false"/>
          <w:iCs/>
          <w:sz w:val="24"/>
          <w:szCs w:val="24"/>
          <w:u w:val="none"/>
          <w:lang w:val="ru-RU"/>
        </w:rPr>
        <w:t xml:space="preserve">4.1. Приложение №1 </w:t>
      </w:r>
      <w:r>
        <w:rPr>
          <w:b w:val="false"/>
          <w:bCs/>
          <w:iCs/>
          <w:sz w:val="24"/>
          <w:szCs w:val="24"/>
          <w:u w:val="none"/>
          <w:lang w:val="ru-RU"/>
        </w:rPr>
        <w:t>Перечень рабочих мест АО «Сахаэнерго» на которых необходима организация лабораторных, инструментальных исследований и испытаний на наличие химических, биологических и иных вредных производственных факторов.</w:t>
      </w:r>
      <w:bookmarkEnd w:id="71"/>
    </w:p>
    <w:p>
      <w:pPr>
        <w:pStyle w:val="Heading1"/>
        <w:tabs>
          <w:tab w:val="clear" w:pos="0"/>
        </w:tabs>
        <w:spacing w:before="0" w:after="0"/>
        <w:ind w:left="0" w:right="0" w:firstLine="680"/>
        <w:jc w:val="both"/>
        <w:rPr>
          <w:u w:val="none"/>
        </w:rPr>
      </w:pPr>
      <w:bookmarkStart w:id="72" w:name="__RefHeading___Toc1459_3389930708"/>
      <w:bookmarkStart w:id="73" w:name="_Toc209528235"/>
      <w:bookmarkEnd w:id="72"/>
      <w:r>
        <w:rPr>
          <w:b w:val="false"/>
          <w:iCs/>
          <w:sz w:val="24"/>
          <w:szCs w:val="24"/>
          <w:u w:val="none"/>
          <w:lang w:val="ru-RU"/>
        </w:rPr>
        <w:t xml:space="preserve">4.2. </w:t>
      </w:r>
      <w:bookmarkStart w:id="74" w:name="_Toc196483701"/>
      <w:r>
        <w:rPr>
          <w:b w:val="false"/>
          <w:iCs/>
          <w:sz w:val="24"/>
          <w:szCs w:val="24"/>
          <w:u w:val="none"/>
          <w:lang w:val="ru-RU"/>
        </w:rPr>
        <w:t xml:space="preserve">Приложение № 2: </w:t>
      </w:r>
      <w:r>
        <w:rPr>
          <w:rFonts w:eastAsia="Times New Roman"/>
          <w:b w:val="false"/>
          <w:iCs/>
          <w:color w:val="000000"/>
          <w:sz w:val="24"/>
          <w:szCs w:val="24"/>
          <w:u w:val="none"/>
          <w:lang w:val="ru-RU" w:eastAsia="ru-RU" w:bidi="ru-RU"/>
        </w:rPr>
        <w:t xml:space="preserve">ИСМ РГ-00-017.03-23 </w:t>
      </w:r>
      <w:r>
        <w:rPr>
          <w:rFonts w:eastAsia="Times New Roman"/>
          <w:b w:val="false"/>
          <w:bCs/>
          <w:iCs/>
          <w:color w:val="000000"/>
          <w:sz w:val="24"/>
          <w:szCs w:val="24"/>
          <w:u w:val="none"/>
          <w:lang w:val="ru-RU" w:eastAsia="ru-RU" w:bidi="ru-RU"/>
        </w:rPr>
        <w:t>Регламент допуска подрядных организаций и командированного персонала на объекты «АО «Сахаэнерго</w:t>
      </w:r>
      <w:bookmarkStart w:id="75" w:name="_GoBack1"/>
      <w:bookmarkEnd w:id="75"/>
      <w:r>
        <w:rPr>
          <w:rFonts w:eastAsia="Times New Roman"/>
          <w:b w:val="false"/>
          <w:bCs/>
          <w:iCs/>
          <w:color w:val="000000"/>
          <w:sz w:val="24"/>
          <w:szCs w:val="24"/>
          <w:u w:val="none"/>
          <w:lang w:val="ru-RU" w:eastAsia="ru-RU" w:bidi="ru-RU"/>
        </w:rPr>
        <w:t>».</w:t>
      </w:r>
      <w:bookmarkEnd w:id="73"/>
      <w:bookmarkEnd w:id="74"/>
    </w:p>
    <w:p>
      <w:pPr>
        <w:pStyle w:val="Normal"/>
        <w:rPr/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yle1" w:customStyle="1">
    <w:name w:val="Название Знак"/>
    <w:link w:val="112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rPr>
      <w:sz w:val="26"/>
      <w:szCs w:val="26"/>
    </w:rPr>
  </w:style>
  <w:style w:type="character" w:styleId="31" w:customStyle="1">
    <w:name w:val="УРОВЕНЬ_Абзац_тип3 Знак"/>
    <w:link w:val="37"/>
    <w:qFormat/>
    <w:rPr>
      <w:rFonts w:eastAsia="Calibri"/>
      <w:sz w:val="26"/>
      <w:szCs w:val="28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6"/>
    <w:qFormat/>
    <w:rPr>
      <w:b/>
      <w:sz w:val="28"/>
    </w:rPr>
  </w:style>
  <w:style w:type="character" w:styleId="12" w:customStyle="1">
    <w:name w:val="УРОВЕНЬ_1. Знак"/>
    <w:link w:val="116"/>
    <w:qFormat/>
    <w:rPr>
      <w:rFonts w:eastAsia="Calibri"/>
      <w:caps/>
      <w:sz w:val="28"/>
      <w:szCs w:val="28"/>
    </w:rPr>
  </w:style>
  <w:style w:type="character" w:styleId="Style14" w:customStyle="1">
    <w:name w:val="Ссылка указателя"/>
    <w:qFormat/>
    <w:rPr/>
  </w:style>
  <w:style w:type="character" w:styleId="13" w:customStyle="1">
    <w:name w:val="Основной текст Знак1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4" w:customStyle="1">
    <w:name w:val="Текст сноски Знак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5" w:customStyle="1">
    <w:name w:val="Верхний колонтитул Знак1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2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4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6" w:customStyle="1">
    <w:name w:val="Текст примечания Знак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16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7" w:customStyle="1">
    <w:name w:val="Подзаголовок Знак1"/>
    <w:basedOn w:val="DefaultParagraphFont"/>
    <w:qFormat/>
    <w:rPr>
      <w:rFonts w:eastAsia="Calibri"/>
      <w:color w:val="5A5A5A"/>
      <w:spacing w:val="15"/>
      <w:lang w:eastAsia="ru-RU"/>
    </w:rPr>
  </w:style>
  <w:style w:type="character" w:styleId="211" w:customStyle="1">
    <w:name w:val="Цитата 2 Знак1"/>
    <w:basedOn w:val="DefaultParagraphFont"/>
    <w:qFormat/>
    <w:rPr>
      <w:rFonts w:ascii="Times New Roman" w:hAnsi="Times New Roman" w:eastAsia="Times New Roman" w:cs="Times New Roman"/>
      <w:i/>
      <w:iCs/>
      <w:color w:val="404040"/>
      <w:sz w:val="28"/>
      <w:szCs w:val="28"/>
      <w:lang w:eastAsia="ru-RU"/>
    </w:rPr>
  </w:style>
  <w:style w:type="character" w:styleId="18" w:customStyle="1">
    <w:name w:val="Выделенная цитата Знак1"/>
    <w:basedOn w:val="DefaultParagraphFont"/>
    <w:qFormat/>
    <w:rPr>
      <w:rFonts w:ascii="Times New Roman" w:hAnsi="Times New Roman" w:eastAsia="Times New Roman" w:cs="Times New Roman"/>
      <w:i/>
      <w:iCs/>
      <w:color w:val="5B9BD5"/>
      <w:sz w:val="28"/>
      <w:szCs w:val="28"/>
      <w:lang w:eastAsia="ru-RU"/>
    </w:rPr>
  </w:style>
  <w:style w:type="character" w:styleId="19" w:customStyle="1">
    <w:name w:val="Электронная подпись Знак1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0" w:customStyle="1">
    <w:name w:val="Текст концевой сноски Знак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Символ нумерации"/>
    <w:qFormat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</w:rPr>
  </w:style>
  <w:style w:type="paragraph" w:styleId="BodyText">
    <w:name w:val="Body Text"/>
    <w:basedOn w:val="Normal"/>
    <w:link w:val="Style6"/>
    <w:pPr>
      <w:spacing w:before="0" w:after="120"/>
    </w:pPr>
    <w:rPr>
      <w:rFonts w:ascii="Calibri" w:hAnsi="Calibri" w:eastAsia="Calibri" w:cs="Tahoma"/>
      <w:lang w:eastAsia="en-U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Style20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Style20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Style20"/>
    <w:qFormat/>
    <w:pPr/>
    <w:rPr/>
  </w:style>
  <w:style w:type="paragraph" w:styleId="Caption1111" w:customStyle="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1">
    <w:name w:val="index 1"/>
    <w:basedOn w:val="Normal"/>
    <w:next w:val="Normal"/>
    <w:autoRedefine/>
    <w:qFormat/>
    <w:pPr>
      <w:ind w:left="280" w:hanging="280"/>
    </w:pPr>
    <w:rPr/>
  </w:style>
  <w:style w:type="paragraph" w:styleId="Indexheading1111" w:customStyle="1">
    <w:name w:val="index heading1111"/>
    <w:basedOn w:val="Style20"/>
    <w:qFormat/>
    <w:pPr/>
    <w:rPr/>
  </w:style>
  <w:style w:type="paragraph" w:styleId="Style22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rFonts w:ascii="Calibri" w:hAnsi="Calibri" w:eastAsia="Calibri" w:cs="Tahoma"/>
      <w:sz w:val="22"/>
      <w:szCs w:val="22"/>
      <w:lang w:eastAsia="en-US"/>
    </w:rPr>
  </w:style>
  <w:style w:type="paragraph" w:styleId="111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12" w:customStyle="1">
    <w:name w:val="Название1"/>
    <w:basedOn w:val="Normal"/>
    <w:link w:val="Style1"/>
    <w:qFormat/>
    <w:pPr>
      <w:jc w:val="center"/>
    </w:pPr>
    <w:rPr>
      <w:rFonts w:ascii="Calibri" w:hAnsi="Calibri" w:eastAsia="Calibri" w:cs="Tahoma"/>
      <w:szCs w:val="22"/>
      <w:lang w:eastAsia="en-US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ahoma"/>
      <w:sz w:val="24"/>
      <w:szCs w:val="24"/>
      <w:lang w:eastAsia="en-US"/>
    </w:rPr>
  </w:style>
  <w:style w:type="paragraph" w:styleId="BodyTextIndent">
    <w:name w:val="Body Text Indent"/>
    <w:basedOn w:val="Normal"/>
    <w:link w:val="Style15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ascii="Calibri" w:hAnsi="Calibri" w:eastAsia="Calibri" w:cs="Tahoma"/>
      <w:szCs w:val="22"/>
      <w:lang w:eastAsia="en-US"/>
    </w:rPr>
  </w:style>
  <w:style w:type="paragraph" w:styleId="26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ascii="Calibri" w:hAnsi="Calibri" w:eastAsia="Calibri" w:cs="Tahoma"/>
      <w:b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pPr>
      <w:ind w:left="280" w:hanging="0"/>
    </w:pPr>
    <w:rPr>
      <w:rFonts w:cs="Calibri"/>
      <w:sz w:val="20"/>
      <w:szCs w:val="20"/>
    </w:rPr>
  </w:style>
  <w:style w:type="paragraph" w:styleId="Style27" w:customStyle="1">
    <w:name w:val="Раздел регламента"/>
    <w:basedOn w:val="Normal"/>
    <w:qFormat/>
    <w:pPr/>
    <w:rPr/>
  </w:style>
  <w:style w:type="paragraph" w:styleId="Style28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uiPriority w:val="39"/>
    <w:pPr>
      <w:spacing w:lineRule="auto" w:line="240"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link w:val="Style17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rFonts w:ascii="Calibri" w:hAnsi="Calibri" w:eastAsia="Calibri" w:cs="Tahoma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Style18"/>
    <w:qFormat/>
    <w:pPr/>
    <w:rPr>
      <w:b/>
      <w:bCs/>
    </w:rPr>
  </w:style>
  <w:style w:type="paragraph" w:styleId="113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/>
      <w:sz w:val="20"/>
      <w:szCs w:val="20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 w:eastAsia="Calibri" w:cs="Tahom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ascii="Calibri" w:hAnsi="Calibri" w:eastAsia="Calibri" w:cs="Tahoma"/>
      <w:sz w:val="24"/>
      <w:szCs w:val="24"/>
      <w:lang w:eastAsia="en-US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 w:cs="Tahoma"/>
      <w:i/>
      <w:iCs/>
      <w:color w:val="000000"/>
      <w:sz w:val="22"/>
      <w:szCs w:val="22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ahoma"/>
      <w:b/>
      <w:bCs/>
      <w:i/>
      <w:iCs/>
      <w:color w:val="4F81BD"/>
      <w:sz w:val="22"/>
      <w:szCs w:val="22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ascii="Calibri" w:hAnsi="Calibri" w:eastAsia="Calibri" w:cs="Tahoma"/>
      <w:sz w:val="24"/>
      <w:szCs w:val="24"/>
      <w:lang w:eastAsia="en-US"/>
    </w:rPr>
  </w:style>
  <w:style w:type="paragraph" w:styleId="Style30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4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5" w:customStyle="1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</w:rPr>
  </w:style>
  <w:style w:type="paragraph" w:styleId="37" w:customStyle="1">
    <w:name w:val="УРОВЕНЬ_Абзац_тип3"/>
    <w:basedOn w:val="ListParagraph"/>
    <w:link w:val="31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</w:rPr>
  </w:style>
  <w:style w:type="paragraph" w:styleId="Style36" w:customStyle="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</w:rPr>
  </w:style>
  <w:style w:type="paragraph" w:styleId="115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rFonts w:ascii="Calibri" w:hAnsi="Calibri" w:eastAsia="Calibri" w:cs="Tahoma"/>
      <w:sz w:val="22"/>
      <w:szCs w:val="22"/>
      <w:lang w:eastAsia="en-US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6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8" w:customStyle="1">
    <w:name w:val="Содержимое врезки"/>
    <w:basedOn w:val="Normal"/>
    <w:qFormat/>
    <w:pPr/>
    <w:rPr/>
  </w:style>
  <w:style w:type="paragraph" w:styleId="Style3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0" w:customStyle="1">
    <w:name w:val="Заголовок таблицы"/>
    <w:basedOn w:val="Style3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7" w:customStyle="1">
    <w:name w:val="Стиль1"/>
    <w:qFormat/>
  </w:style>
  <w:style w:type="numbering" w:styleId="212" w:customStyle="1">
    <w:name w:val="Стиль2"/>
    <w:qFormat/>
  </w:style>
  <w:style w:type="numbering" w:styleId="1255899001" w:customStyle="1">
    <w:name w:val="125589900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1f6f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D4F7-FD31-4D95-855C-D3690060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Application>AlterOffice/3.4.0.8$Linux_X86_64 LibreOffice_project/8f3f3c847f0b8d6fea24e251d3d8ed4f23cbe23c</Application>
  <AppVersion>15.0000</AppVersion>
  <Pages>16</Pages>
  <Words>2913</Words>
  <Characters>19571</Characters>
  <CharactersWithSpaces>22081</CharactersWithSpaces>
  <Paragraphs>442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2024-03-21T02:26:00Z</dcterms:created>
  <dc:creator>Кортунков Евгений Александрович</dc:creator>
  <dc:description/>
  <dc:language>ru-RU</dc:language>
  <cp:lastModifiedBy/>
  <cp:lastPrinted>2025-09-11T15:06:00Z</cp:lastPrinted>
  <dcterms:modified xsi:type="dcterms:W3CDTF">2026-06-03T15:12:33Z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