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 w:cs="Times New Roman"/>
          <w:color w:val="auto"/>
          <w:kern w:val="0"/>
          <w:sz w:val="26"/>
          <w:szCs w:val="26"/>
          <w:lang w:val="ru-RU" w:eastAsia="ru-RU" w:bidi="ar-SA"/>
        </w:rPr>
        <w:t>ОКПД2 19.20.31.110. Поставка газа в баллонах для нужд Саяно-Шушенского филиала АО "ТК РусГидро"</w:t>
      </w:r>
    </w:p>
    <w:p>
      <w:pPr>
        <w:pStyle w:val="Normal"/>
        <w:keepNext w:val="true"/>
        <w:keepLines/>
        <w:jc w:val="both"/>
        <w:rPr>
          <w:rFonts w:ascii="Times New Roman" w:hAnsi="Times New Roman" w:eastAsia="Calibri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color w:val="auto"/>
          <w:kern w:val="0"/>
          <w:sz w:val="26"/>
          <w:szCs w:val="26"/>
          <w:lang w:val="ru-RU" w:eastAsia="ru-RU" w:bidi="ar-SA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99430392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_Toc199430392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430393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_Toc199430393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430394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_Toc199430394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430395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_Toc199430395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430396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_Toc199430396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430400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_Toc199430400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430401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_Toc199430401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430402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_Toc199430402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43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_Toc199430403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430404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_Toc199430404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4304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_Toc199430405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430406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_Toc199430406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4304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_Toc199430407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430408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_Toc199430408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rFonts w:cs="Calibri Light" w:cstheme="majorHAnsi"/>
          <w:b/>
          <w:i/>
          <w:i/>
        </w:rPr>
      </w:pPr>
      <w:r>
        <w:rPr>
          <w:rFonts w:cs="Calibri Light" w:cstheme="majorHAnsi"/>
          <w:b/>
          <w:i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99430392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shd w:fill="auto" w:val="clear"/>
        </w:rPr>
      </w:pPr>
      <w:bookmarkStart w:id="2" w:name="_Toc199430393"/>
      <w:bookmarkStart w:id="3" w:name="_Toc46743505"/>
      <w:r>
        <w:rPr/>
        <w:t>Обозначения и сокращения</w:t>
      </w:r>
      <w:bookmarkEnd w:id="2"/>
      <w:bookmarkEnd w:id="3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i/>
                <w:i/>
                <w:lang w:val="x-none" w:eastAsia="x-none"/>
              </w:rPr>
            </w:pPr>
            <w:r>
              <w:rPr>
                <w:rFonts w:eastAsia="Calibri"/>
                <w:i/>
                <w:lang w:val="x-none" w:eastAsia="x-none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lang w:val="x-none" w:eastAsia="x-none"/>
              </w:rPr>
            </w:pPr>
            <w:r>
              <w:rPr>
                <w:rFonts w:eastAsia="Calibri"/>
                <w:lang w:val="x-none" w:eastAsia="x-none"/>
              </w:rPr>
              <w:t>Универсальный передаточный документ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firstLine="709"/>
        <w:jc w:val="both"/>
        <w:rPr/>
      </w:pPr>
      <w:bookmarkStart w:id="4" w:name="_Toc46743506"/>
      <w:bookmarkStart w:id="5" w:name="_Toc199430394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ОКПД2 20.11.11.150. ОКПД2 19.20.31.110. Поставка газа в баллонах для нужд Саяно-Шушенского филиала АО "ТК РусГидро"</w:t>
      </w:r>
    </w:p>
    <w:p>
      <w:pPr>
        <w:pStyle w:val="Heading4"/>
        <w:numPr>
          <w:ilvl w:val="1"/>
          <w:numId w:val="3"/>
        </w:numPr>
        <w:spacing w:before="240" w:after="60"/>
        <w:ind w:left="0" w:firstLine="709"/>
        <w:jc w:val="both"/>
        <w:rPr>
          <w:lang w:val="ru-RU"/>
        </w:rPr>
      </w:pPr>
      <w:bookmarkStart w:id="6" w:name="_Toc199430395"/>
      <w:bookmarkStart w:id="7" w:name="_Toc46743507"/>
      <w:r>
        <w:rPr/>
        <w:t xml:space="preserve">Цель </w:t>
      </w:r>
      <w:bookmarkEnd w:id="7"/>
      <w:r>
        <w:rPr>
          <w:lang w:val="ru-RU"/>
        </w:rPr>
        <w:t xml:space="preserve">использования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з</w:t>
      </w:r>
      <w:r>
        <w:rPr>
          <w:lang w:val="ru-RU"/>
        </w:rPr>
        <w:t>акупаемой продукции</w:t>
      </w:r>
      <w:bookmarkEnd w:id="6"/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</w:rPr>
        <w:t>Обеспечение газом (пропан) аяно-шушенского филиал АО «ТК РусГидро».</w:t>
      </w:r>
    </w:p>
    <w:p>
      <w:pPr>
        <w:pStyle w:val="Heading4"/>
        <w:numPr>
          <w:ilvl w:val="1"/>
          <w:numId w:val="3"/>
        </w:numPr>
        <w:ind w:left="0" w:firstLine="709"/>
        <w:jc w:val="both"/>
        <w:rPr/>
      </w:pPr>
      <w:bookmarkStart w:id="8" w:name="_Toc199430396"/>
      <w:bookmarkStart w:id="9" w:name="_Toc46743510"/>
      <w:bookmarkStart w:id="10" w:name="_Toc50125126"/>
      <w:bookmarkEnd w:id="9"/>
      <w:bookmarkEnd w:id="10"/>
      <w:r>
        <w:rPr/>
        <w:t>Иные требования и сведения общего характера</w:t>
      </w:r>
      <w:bookmarkEnd w:id="8"/>
    </w:p>
    <w:p>
      <w:pPr>
        <w:pStyle w:val="Heading4"/>
        <w:numPr>
          <w:ilvl w:val="2"/>
          <w:numId w:val="7"/>
        </w:numPr>
        <w:ind w:left="0" w:firstLine="709"/>
        <w:jc w:val="both"/>
        <w:rPr>
          <w:rFonts w:eastAsia="Times New Roman"/>
          <w:b w:val="false"/>
          <w:bCs w:val="false"/>
          <w:lang w:val="ru-RU" w:eastAsia="ru-RU"/>
        </w:rPr>
      </w:pPr>
      <w:bookmarkStart w:id="11" w:name="_Toc199430397"/>
      <w:bookmarkStart w:id="12" w:name="_Toc142825273"/>
      <w:bookmarkStart w:id="13" w:name="_Toc142589270"/>
      <w:bookmarkStart w:id="14" w:name="_Toc136349843"/>
      <w:r>
        <w:rPr>
          <w:rFonts w:eastAsia="Times New Roman"/>
          <w:b w:val="false"/>
          <w:bCs w:val="false"/>
          <w:lang w:val="ru-RU" w:eastAsia="ru-RU"/>
        </w:rPr>
        <w:t>Продукция должна быть новой, не ранее 202</w:t>
      </w:r>
      <w:r>
        <w:rPr>
          <w:rFonts w:eastAsia="Times New Roman"/>
          <w:b w:val="false"/>
          <w:bCs w:val="false"/>
          <w:lang w:val="ru-RU" w:eastAsia="ru-RU"/>
        </w:rPr>
        <w:t>6</w:t>
      </w:r>
      <w:r>
        <w:rPr>
          <w:rFonts w:eastAsia="Times New Roman"/>
          <w:b w:val="false"/>
          <w:bCs w:val="false"/>
          <w:lang w:val="ru-RU" w:eastAsia="ru-RU"/>
        </w:rPr>
        <w:t xml:space="preserve"> года выпуска, оригинальной (от производителя) или эквивалент продукции, ранее не находившаяся в использовании у Поставщика и (или) третьих лиц, не допускается поставка выставочных образцов.</w:t>
      </w:r>
      <w:bookmarkEnd w:id="11"/>
      <w:bookmarkEnd w:id="12"/>
      <w:bookmarkEnd w:id="13"/>
      <w:bookmarkEnd w:id="14"/>
    </w:p>
    <w:p>
      <w:pPr>
        <w:pStyle w:val="Heading4"/>
        <w:numPr>
          <w:ilvl w:val="2"/>
          <w:numId w:val="7"/>
        </w:numPr>
        <w:ind w:left="0" w:firstLine="709"/>
        <w:jc w:val="both"/>
        <w:rPr>
          <w:rFonts w:eastAsia="Times New Roman"/>
          <w:b w:val="false"/>
          <w:bCs w:val="false"/>
          <w:lang w:val="ru-RU" w:eastAsia="ru-RU"/>
        </w:rPr>
      </w:pPr>
      <w:bookmarkStart w:id="15" w:name="_Toc142589271"/>
      <w:bookmarkStart w:id="16" w:name="_Toc136349845"/>
      <w:bookmarkStart w:id="17" w:name="_Toc142825274"/>
      <w:bookmarkStart w:id="18" w:name="_Toc199430398"/>
      <w:r>
        <w:rPr>
          <w:rFonts w:eastAsia="Times New Roman"/>
          <w:b w:val="false"/>
          <w:bCs w:val="false"/>
          <w:lang w:val="ru-RU" w:eastAsia="ru-RU"/>
        </w:rPr>
        <w:t>Поставщик вправе предложить эквивалент к заявленной в настоящем Техническом требовании продукции по позиционно, с указанием марки, модели и технических показателей предлагаемого эквивалента.</w:t>
      </w:r>
      <w:bookmarkEnd w:id="15"/>
      <w:bookmarkEnd w:id="16"/>
      <w:bookmarkEnd w:id="17"/>
      <w:bookmarkEnd w:id="18"/>
      <w:r>
        <w:rPr>
          <w:rFonts w:eastAsia="Times New Roman"/>
          <w:b w:val="false"/>
          <w:bCs w:val="false"/>
          <w:lang w:val="ru-RU" w:eastAsia="ru-RU"/>
        </w:rPr>
        <w:t xml:space="preserve"> </w:t>
      </w:r>
    </w:p>
    <w:p>
      <w:pPr>
        <w:pStyle w:val="Heading4"/>
        <w:numPr>
          <w:ilvl w:val="2"/>
          <w:numId w:val="7"/>
        </w:numPr>
        <w:ind w:left="0" w:firstLine="709"/>
        <w:jc w:val="both"/>
        <w:rPr>
          <w:rFonts w:eastAsia="Times New Roman"/>
          <w:b w:val="false"/>
          <w:bCs w:val="false"/>
          <w:lang w:val="ru-RU" w:eastAsia="ru-RU"/>
        </w:rPr>
      </w:pPr>
      <w:bookmarkStart w:id="19" w:name="_Toc142589272"/>
      <w:bookmarkStart w:id="20" w:name="_Toc136349846"/>
      <w:bookmarkStart w:id="21" w:name="_Toc142825275"/>
      <w:bookmarkStart w:id="22" w:name="_Toc199430399"/>
      <w:r>
        <w:rPr>
          <w:rFonts w:eastAsia="Times New Roman"/>
          <w:b w:val="false"/>
          <w:bCs w:val="false"/>
          <w:lang w:val="ru-RU" w:eastAsia="ru-RU"/>
        </w:rPr>
        <w:t>Технические характеристики предлагаемых эквивалентов не должны быть ниже, чем у указанных Покупателем в настоящих Технических требованиях.</w:t>
      </w:r>
      <w:bookmarkEnd w:id="19"/>
      <w:bookmarkEnd w:id="20"/>
      <w:bookmarkEnd w:id="21"/>
      <w:bookmarkEnd w:id="22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199430400"/>
      <w:bookmarkStart w:id="24" w:name="_Toc51339693"/>
      <w:r>
        <w:rPr>
          <w:iCs/>
        </w:rPr>
        <w:t>Требования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199430401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5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6" w:name="_Toc136349850"/>
      <w:bookmarkStart w:id="27" w:name="_Toc142589275"/>
      <w:bookmarkStart w:id="28" w:name="_Toc199430402"/>
      <w:r>
        <w:rPr>
          <w:lang w:val="ru-RU"/>
        </w:rPr>
        <w:t>Перечень и объем закупаемой продукции</w:t>
      </w:r>
      <w:bookmarkEnd w:id="26"/>
      <w:bookmarkEnd w:id="27"/>
      <w:bookmarkEnd w:id="2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9" w:name="_Toc199430403"/>
      <w:bookmarkStart w:id="3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0"/>
      <w:r>
        <w:rPr>
          <w:sz w:val="24"/>
          <w:szCs w:val="24"/>
          <w:lang w:val="ru-RU"/>
        </w:rPr>
        <w:t>и объем закупаемой продукции</w:t>
      </w:r>
      <w:bookmarkEnd w:id="29"/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6672"/>
        <w:gridCol w:w="936"/>
        <w:gridCol w:w="1377"/>
      </w:tblGrid>
      <w:tr>
        <w:trPr>
          <w:trHeight w:val="1710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продукции (товары / работы / услуги), являющейся предметом закупки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Ед. </w:t>
              <w:br/>
              <w:t>изм.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*</w:t>
            </w:r>
          </w:p>
        </w:tc>
      </w:tr>
      <w:tr>
        <w:trPr>
          <w:trHeight w:val="322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6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 (проапан)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баллон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</w:tbl>
    <w:p>
      <w:pPr>
        <w:pStyle w:val="Normal"/>
        <w:rPr>
          <w:lang w:eastAsia="x-none"/>
        </w:rPr>
      </w:pPr>
      <w:r>
        <w:rPr>
          <w:bCs/>
          <w:sz w:val="24"/>
          <w:szCs w:val="24"/>
        </w:rPr>
        <w:t>*Количество указано предварительное и может быть изменено исходя из фактической потребности Покупателя в пределах общей цены договора, в зависимости от производственных потребностей, при этом цена единицы продукции корректировки не подлежит.</w:t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1" w:name="_Toc136349852"/>
      <w:bookmarkStart w:id="32" w:name="_Toc142589277"/>
      <w:bookmarkStart w:id="33" w:name="_Toc199430404"/>
      <w:bookmarkStart w:id="34" w:name="_Toc51339696"/>
      <w:r>
        <w:rPr>
          <w:lang w:val="ru-RU"/>
        </w:rPr>
        <w:t xml:space="preserve">Требования </w:t>
      </w:r>
      <w:bookmarkEnd w:id="34"/>
      <w:r>
        <w:rPr>
          <w:lang w:val="ru-RU"/>
        </w:rPr>
        <w:t>к срокам поставки продукции и оказания сопутствующих услуг</w:t>
      </w:r>
      <w:bookmarkEnd w:id="31"/>
      <w:bookmarkEnd w:id="32"/>
      <w:bookmarkEnd w:id="3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5" w:name="_Toc199430405"/>
      <w:bookmarkStart w:id="36" w:name="_Toc51339697"/>
      <w:bookmarkStart w:id="37" w:name="_Toc50125127"/>
      <w:bookmarkStart w:id="38" w:name="_Toc50125126_Копия_1"/>
      <w:bookmarkEnd w:id="3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9" w:name="_Hlk50465284"/>
      <w:r>
        <w:rPr>
          <w:sz w:val="24"/>
          <w:szCs w:val="24"/>
        </w:rPr>
        <w:t xml:space="preserve">Требования по срокам </w:t>
      </w:r>
      <w:bookmarkEnd w:id="36"/>
      <w:bookmarkEnd w:id="37"/>
      <w:bookmarkEnd w:id="39"/>
      <w:r>
        <w:rPr>
          <w:sz w:val="24"/>
          <w:szCs w:val="24"/>
          <w:lang w:val="ru-RU"/>
        </w:rPr>
        <w:t>поставки продукции</w:t>
      </w:r>
      <w:bookmarkEnd w:id="35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ОКПД2 19.20.31.110. Поставка газа в баллонах для нужд Саяно-Шушенского филиала АО "ТК РусГидро"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01.01.2027г.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 рабочих дней с даты подачи Покупателем заявки на поставку Товара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40" w:name="_Toc199430406"/>
      <w:bookmarkStart w:id="41" w:name="_Toc142589279"/>
      <w:bookmarkStart w:id="42" w:name="_Toc46743511"/>
      <w:bookmarkStart w:id="43" w:name="_Toc46743510_Копия_1"/>
      <w:bookmarkEnd w:id="43"/>
      <w:r>
        <w:rPr/>
        <w:t xml:space="preserve">Требования к </w:t>
      </w:r>
      <w:bookmarkEnd w:id="42"/>
      <w:r>
        <w:rPr>
          <w:lang w:val="ru-RU"/>
        </w:rPr>
        <w:t>качеству продукции</w:t>
      </w:r>
      <w:bookmarkEnd w:id="40"/>
      <w:bookmarkEnd w:id="4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</w:t>
      </w:r>
      <w:bookmarkStart w:id="44" w:name="_Toc199430407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4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</w:t>
      </w:r>
      <w:r>
        <w:rPr>
          <w:i/>
        </w:rPr>
        <w:t xml:space="preserve">: </w:t>
      </w:r>
      <w:r>
        <w:rPr>
          <w:rFonts w:eastAsia="Times New Roman" w:cs="Times New Roman"/>
          <w:i/>
          <w:color w:val="auto"/>
          <w:kern w:val="0"/>
          <w:sz w:val="24"/>
          <w:szCs w:val="24"/>
          <w:u w:val="single"/>
          <w:lang w:val="ru-RU" w:eastAsia="ru-RU" w:bidi="ar-SA"/>
        </w:rPr>
        <w:t>ОКПД2 20.11.11.150. ОКПД2 19.20.31.110. Поставка газа в баллонах для нужд Саяно-Шушенского филиала АО "ТК РусГидро"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W w:w="10773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2876"/>
        <w:gridCol w:w="2369"/>
        <w:gridCol w:w="1559"/>
        <w:gridCol w:w="1416"/>
        <w:gridCol w:w="1701"/>
      </w:tblGrid>
      <w:tr>
        <w:trPr>
          <w:trHeight w:val="1575" w:hRule="atLeast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236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2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2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Предоставление подтверждающих характеристик или иной способ подтверждения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591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1" w:type="dxa"/>
            <w:gridSpan w:val="5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6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продукции (позиция №1 Таблицы 1): Азот газообразный технический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</w:tr>
      <w:tr>
        <w:trPr>
          <w:trHeight w:val="6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Степень чистоты, %, не ниже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 ГОСТ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9293-74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продукции (позиция №2 Таблицы 1): Аргон газообразный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</w:tr>
      <w:tr>
        <w:trPr>
          <w:trHeight w:val="6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 ГОСТ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10157-79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Степень чистоты, %, не ниже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продукции (позиция №3 Таблицы 1): Ацетилен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</w:tr>
      <w:tr>
        <w:trPr>
          <w:trHeight w:val="6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 ГОСТ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5457-75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продукции (позиция №4 Таблицы 1): Кислород сжатый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</w:tr>
      <w:tr>
        <w:trPr>
          <w:trHeight w:val="6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Степень чистоты, %, не ниже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продукции (позиция №5 Таблицы 1): Углекислота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</w:tr>
      <w:tr>
        <w:trPr>
          <w:trHeight w:val="6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 ГОСТ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8050-85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продукции (позиция №7 Таблицы 1): Баллон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" w:cstheme="majorBidi"/>
                <w:i/>
                <w:iCs/>
                <w:sz w:val="24"/>
                <w:szCs w:val="24"/>
              </w:rPr>
              <w:t>-//-</w:t>
            </w:r>
          </w:p>
        </w:tc>
      </w:tr>
      <w:tr>
        <w:trPr>
          <w:trHeight w:val="6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Заправочный объем, л.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Рабочее давление, кгс/см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, не менее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изготовления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Сталь Ст 45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 ГОСТ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949-73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05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3391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доставке поставляемой продукции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Доставка продукции осуществляется до места поставки силами, средствами и за счет Поставщика. Место поставки: </w:t>
            </w:r>
            <w:r>
              <w:rPr>
                <w:sz w:val="22"/>
                <w:szCs w:val="22"/>
              </w:rPr>
              <w:t xml:space="preserve">Республика Хакасия, город Саяногорск, рабочий поселок Черёмушки, </w:t>
            </w:r>
            <w:r>
              <w:rPr>
                <w:sz w:val="22"/>
                <w:szCs w:val="22"/>
              </w:rPr>
              <w:t>стр</w:t>
            </w:r>
            <w:r>
              <w:rPr>
                <w:sz w:val="22"/>
                <w:szCs w:val="22"/>
              </w:rPr>
              <w:t xml:space="preserve"> 101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13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Требования к условиям хранения поставляемой продукции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Поставляемая продукция должна храниться в специальных условиях, чтобы избежать загрязнения и потерь качества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22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маркировке поставляемой продукции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этикетке, к поставляемой продукции должно быть указано: название продукции на русском языке, химическая формула поставляемой продукции, чистота газа в процентах, давление, под которым поставлена продукция, объем поставляемой продукции, дата изготовления, срок годности, информация о производителе, предупреждения о безопасном использовании и меры предосторожности при работе, символы опасности соответствующие классу опасности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1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1800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сроку гарантии поставляемой продукции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продукцию устанавливает гарантийный срок, не превышающий срок, указанный заводом изготовителем продукции, но не менее 6 месяцев с момента приемки продукции.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1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331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документации, поставляемой вместе с продукцией</w:t>
            </w:r>
          </w:p>
        </w:tc>
        <w:tc>
          <w:tcPr>
            <w:tcW w:w="2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Вместе с продукцией поставщик обязан предоставить оригиналы следующих документов: Счёт, Счёт-фактура + Товарная накладная или УПД, заверенные копии документации завода изготовителя содержащей исчерпывающие сведения о поставляемой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92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>
        <w:trPr>
          <w:trHeight w:val="982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чистоте поставляемой продукции</w:t>
            </w:r>
          </w:p>
        </w:tc>
        <w:tc>
          <w:tcPr>
            <w:tcW w:w="2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Продукция должна быть высокочистой, без посторонних примесей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температуре поставляемой продукции</w:t>
            </w:r>
          </w:p>
        </w:tc>
        <w:tc>
          <w:tcPr>
            <w:tcW w:w="2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Продукцию необходимо поставлять при температуре, обеспечивающей его стабильность и стойкость к детонации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firstLine="709"/>
        <w:jc w:val="both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firstLine="709"/>
        <w:jc w:val="both"/>
        <w:rPr/>
      </w:pPr>
      <w:bookmarkStart w:id="45" w:name="_Toc199430408"/>
      <w:r>
        <w:rPr/>
        <w:t>Требования к документации по ценообразованию на этапе закупки</w:t>
      </w:r>
      <w:bookmarkEnd w:id="45"/>
    </w:p>
    <w:p>
      <w:pPr>
        <w:pStyle w:val="Normal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3.2. Дополнительные документы по ценообразованию в состав заявки не включаются.</w:t>
      </w:r>
    </w:p>
    <w:p>
      <w:pPr>
        <w:pStyle w:val="Normal"/>
        <w:keepNext w:val="true"/>
        <w:spacing w:before="120" w:after="60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</w:r>
    </w:p>
    <w:p>
      <w:pPr>
        <w:pStyle w:val="Normal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</w:r>
    </w:p>
    <w:p>
      <w:pPr>
        <w:pStyle w:val="Normal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</w:r>
    </w:p>
    <w:p>
      <w:pPr>
        <w:pStyle w:val="Normal"/>
        <w:ind w:firstLine="709"/>
        <w:jc w:val="both"/>
        <w:rPr>
          <w:sz w:val="26"/>
          <w:szCs w:val="26"/>
          <w:lang w:eastAsia="x-none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555" w:hanging="555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555" w:hanging="55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79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122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71fb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82272-54B8-428D-A56F-EAE4871E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AlterOffice/3.4.0.9$Linux_X86_64 LibreOffice_project/b8daf9e823b1a5463a2f48435ddc2e8696e7d4fc</Application>
  <AppVersion>15.0000</AppVersion>
  <Pages>8</Pages>
  <Words>919</Words>
  <Characters>6109</Characters>
  <CharactersWithSpaces>6848</CharactersWithSpaces>
  <Paragraphs>189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2025-07-01T07:57:00Z</dcterms:created>
  <dc:creator>Быстров Олег Геннадьевич</dc:creator>
  <dc:description/>
  <dc:language>ru-RU</dc:language>
  <cp:lastModifiedBy>shefersv@corp.gidroogk.com</cp:lastModifiedBy>
  <cp:lastPrinted>2024-08-08T04:39:00Z</cp:lastPrinted>
  <dcterms:modified xsi:type="dcterms:W3CDTF">2026-06-05T14:09:14Z</dcterms:modified>
  <cp:revision>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