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Директора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spacing w:lineRule="atLeast" w:line="240" w:before="120" w:after="12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«ОКПД2 45.20.30.000  Услуги по мойке транспортных средств Кабардино-Балкарского  транспортного участка Южного филиала АО «ТК РусГидро»</w:t>
      </w:r>
    </w:p>
    <w:p>
      <w:pPr>
        <w:pStyle w:val="Normal"/>
        <w:keepNext w:val="true"/>
        <w:keepLines/>
        <w:spacing w:lineRule="atLeast" w:line="240" w:before="120" w:after="120"/>
        <w:jc w:val="center"/>
        <w:rPr>
          <w:rFonts w:eastAsia="Calibri"/>
          <w:b/>
          <w:i/>
          <w:i/>
          <w:sz w:val="24"/>
          <w:szCs w:val="24"/>
        </w:rPr>
      </w:pPr>
      <w:r>
        <w:rPr>
          <w:b/>
          <w:bCs/>
        </w:rPr>
        <w:t>ЛОТ №</w:t>
      </w:r>
      <w:r>
        <w:rPr/>
        <w:t xml:space="preserve">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vanish w:val="false"/>
              <w:color w:val="auto"/>
            </w:rPr>
            <w:fldChar w:fldCharType="separate"/>
          </w:r>
          <w:hyperlink w:anchor="_Toc14325706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_Toc143257067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_Toc143257068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1.1. 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1.2.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1.3. 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7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7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 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7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 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25707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2.1.1.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7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2.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color w:val="auto"/>
              <w:sz w:val="22"/>
              <w:szCs w:val="22"/>
            </w:rPr>
          </w:pPr>
          <w:hyperlink w:anchor="_Toc1432570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2.1.2. 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7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_Toc143257079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Таблица 3.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iCs w:val="false"/>
              <w:color w:val="auto"/>
              <w:sz w:val="22"/>
              <w:szCs w:val="22"/>
            </w:rPr>
          </w:pPr>
          <w:hyperlink w:anchor="_Toc14325708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_Toc143257080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2.2.2.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81">
            <w:r>
              <w:rPr>
                <w:webHidden/>
                <w:rStyle w:val="Style20"/>
                <w:vanish w:val="false"/>
                <w:color w:val="auto"/>
                <w:kern w:val="2"/>
                <w:lang w:val="x-none" w:eastAsia="x-none"/>
              </w:rPr>
              <w:t>Таблица </w:t>
            </w:r>
            <w:r>
              <w:rPr>
                <w:rStyle w:val="Style20"/>
                <w:color w:val="auto"/>
                <w:kern w:val="2"/>
                <w:lang w:eastAsia="x-none"/>
              </w:rPr>
              <w:t>4</w:t>
            </w:r>
            <w:r>
              <w:rPr>
                <w:rStyle w:val="Style20"/>
                <w:color w:val="auto"/>
                <w:kern w:val="2"/>
                <w:lang w:val="x-none" w:eastAsia="x-none"/>
              </w:rPr>
              <w:t xml:space="preserve">. Требования к </w:t>
            </w:r>
            <w:r>
              <w:rPr>
                <w:rStyle w:val="Style20"/>
                <w:color w:val="auto"/>
                <w:kern w:val="2"/>
                <w:lang w:eastAsia="x-none"/>
              </w:rPr>
              <w:t>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vanish w:val="false"/>
                <w:color w:val="auto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color w:val="auto"/>
              <w:sz w:val="22"/>
              <w:szCs w:val="22"/>
            </w:rPr>
          </w:pPr>
          <w:hyperlink w:anchor="_Toc1432570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_Toc143257082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vanish w:val="false"/>
                <w:color w:val="auto"/>
              </w:rPr>
              <w:t>3.Требования к документации по ценообразованию на этапе закупки</w:t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20"/>
              <w:vanish w:val="false"/>
              <w:color w:val="auto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ind w:left="357" w:hanging="0"/>
        <w:jc w:val="center"/>
        <w:rPr>
          <w:caps/>
        </w:rPr>
      </w:pPr>
      <w:bookmarkStart w:id="0" w:name="_Toc143257067"/>
      <w:r>
        <w:rPr/>
        <w:t>1. Общие сведения</w:t>
      </w:r>
      <w:bookmarkEnd w:id="0"/>
    </w:p>
    <w:p>
      <w:pPr>
        <w:pStyle w:val="Heading4"/>
        <w:numPr>
          <w:ilvl w:val="0"/>
          <w:numId w:val="0"/>
        </w:numPr>
        <w:ind w:left="1224" w:hanging="1224"/>
        <w:rPr>
          <w:rStyle w:val="Style8"/>
          <w:b/>
          <w:i w:val="false"/>
          <w:i w:val="false"/>
          <w:shd w:fill="auto" w:val="clear"/>
        </w:rPr>
      </w:pPr>
      <w:bookmarkStart w:id="1" w:name="_Toc46743505"/>
      <w:bookmarkStart w:id="2" w:name="_Toc143257068"/>
      <w:r>
        <w:rPr/>
        <w:t>1.1. 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НМЦ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максимальная цена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1224"/>
        <w:rPr/>
      </w:pPr>
      <w:bookmarkStart w:id="3" w:name="_Toc46743506"/>
      <w:bookmarkStart w:id="4" w:name="_Toc143257069"/>
      <w:r>
        <w:rPr/>
        <w:t>1.2. Наименование закупаемой продукции</w:t>
      </w:r>
      <w:bookmarkEnd w:id="3"/>
      <w:bookmarkEnd w:id="4"/>
    </w:p>
    <w:p>
      <w:pPr>
        <w:pStyle w:val="Heading4"/>
        <w:numPr>
          <w:ilvl w:val="0"/>
          <w:numId w:val="0"/>
        </w:numPr>
        <w:spacing w:before="0" w:after="60"/>
        <w:ind w:left="0" w:hanging="431"/>
        <w:rPr>
          <w:rFonts w:eastAsia="Times New Roman"/>
          <w:b w:val="false"/>
          <w:bCs w:val="false"/>
          <w:lang w:eastAsia="ru-RU"/>
        </w:rPr>
      </w:pPr>
      <w:r>
        <w:rPr>
          <w:rFonts w:eastAsia="Times New Roman"/>
          <w:b w:val="false"/>
          <w:bCs w:val="false"/>
          <w:lang w:eastAsia="ru-RU"/>
        </w:rPr>
        <w:t xml:space="preserve">         </w:t>
      </w:r>
      <w:bookmarkStart w:id="5" w:name="_Toc143257070"/>
      <w:r>
        <w:rPr>
          <w:rFonts w:eastAsia="Times New Roman"/>
          <w:b w:val="false"/>
          <w:bCs w:val="false"/>
          <w:lang w:eastAsia="ru-RU"/>
        </w:rPr>
        <w:t>«ОКПД2 45.20.30.000  Услуги по мойке транспортных средств Кабардино-Балкарского  транспортного участка Южного филиала АО «ТК РусГидро»</w:t>
      </w:r>
      <w:bookmarkEnd w:id="5"/>
    </w:p>
    <w:p>
      <w:pPr>
        <w:pStyle w:val="Heading4"/>
        <w:numPr>
          <w:ilvl w:val="0"/>
          <w:numId w:val="0"/>
        </w:numPr>
        <w:spacing w:before="0" w:after="0"/>
        <w:ind w:left="431" w:hanging="431"/>
        <w:rPr/>
      </w:pPr>
      <w:bookmarkStart w:id="6" w:name="_Toc143257071"/>
      <w:bookmarkStart w:id="7" w:name="_Toc46743507"/>
      <w:r>
        <w:rPr/>
        <w:t xml:space="preserve">1.3. Цель </w:t>
      </w:r>
      <w:bookmarkEnd w:id="7"/>
      <w:r>
        <w:rPr/>
        <w:t>оказания услуг</w:t>
      </w:r>
      <w:bookmarkEnd w:id="6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Поддержание транспортных средств Кабардино-Балкарского транспортного участка в надлежащем внешнем виде и продление срока службы.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8" w:name="_Toc143257072"/>
      <w:r>
        <w:rPr>
          <w:sz w:val="24"/>
          <w:szCs w:val="24"/>
        </w:rPr>
        <w:t>Таблица 1. Перечень объектов заказчика</w:t>
      </w:r>
      <w:bookmarkEnd w:id="8"/>
    </w:p>
    <w:tbl>
      <w:tblPr>
        <w:tblW w:w="1049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124"/>
        <w:gridCol w:w="2134"/>
        <w:gridCol w:w="4247"/>
        <w:gridCol w:w="142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Расположение объекта </w:t>
              <w:br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333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  <w:bookmarkStart w:id="9" w:name="_Hlk145500262"/>
            <w:bookmarkStart w:id="10" w:name="_Hlk145500262"/>
            <w:bookmarkEnd w:id="10"/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120" w:after="120"/>
              <w:jc w:val="center"/>
              <w:rPr>
                <w:rFonts w:eastAsia="Calibri"/>
                <w:sz w:val="24"/>
                <w:szCs w:val="24"/>
              </w:rPr>
            </w:pPr>
            <w:bookmarkStart w:id="11" w:name="_Hlk145499622_Копия_1"/>
            <w:r>
              <w:rPr>
                <w:rFonts w:eastAsia="Calibri"/>
                <w:sz w:val="24"/>
                <w:szCs w:val="24"/>
              </w:rPr>
              <w:t>Услуги по мойке транспортных средств Кабардино-Балкарского транспортного участка Южного филиала АО "ТК РусГидро</w:t>
            </w:r>
            <w:bookmarkEnd w:id="11"/>
            <w:r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Кабардино-Балкарский транспортный участок 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Кабардино-Балкарская Республика , г. Нальчик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 xml:space="preserve">TOYOTA LAND CRUISER 150 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3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TOYOTA FORTUNER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3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TOYOTA  CAMRY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VW MULTIVAN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0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RENAULT LOGAN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30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RENAULT DUSTER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RENAULT DUSTER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ГАЗ 322125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ГАЗ NEXT A65R23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>ГАЗ</w:t>
            </w:r>
            <w:r>
              <w:rPr>
                <w:iCs/>
                <w:sz w:val="24"/>
                <w:szCs w:val="24"/>
                <w:lang w:val="en-US"/>
              </w:rPr>
              <w:t xml:space="preserve"> A22R33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FORD TRANSIT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КАМАЗ  К3340 6520-53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Кран автомобильный КС-55713-1 на шасси КАМАЗ 65115-62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Кран-манипулятор Palfinger  Инмант IT-150 на шасси КАМАЗ 65117  659000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2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Экскаватор ELAZ-BL 888 </w:t>
            </w:r>
          </w:p>
        </w:tc>
        <w:tc>
          <w:tcPr>
            <w:tcW w:w="1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bookmarkStart w:id="12" w:name="_Toc143257073"/>
      <w:bookmarkStart w:id="13" w:name="_Hlk145500262_Копия_1"/>
      <w:bookmarkEnd w:id="13"/>
      <w:r>
        <w:rPr/>
        <w:t xml:space="preserve">1.4. Информация в отношении исполнения договора, </w:t>
      </w:r>
      <w:bookmarkStart w:id="14" w:name="_Hlk46492347"/>
      <w:r>
        <w:rPr/>
        <w:t xml:space="preserve">которая должна быть учтена при подготовке заявки </w:t>
      </w:r>
      <w:bookmarkEnd w:id="14"/>
      <w:r>
        <w:rPr/>
        <w:t>(в том числе перечень ресурсов, услуг и документов, предоставляемых заказчиком на этапе исполнения договора)</w:t>
      </w:r>
      <w:bookmarkEnd w:id="12"/>
    </w:p>
    <w:p>
      <w:pPr>
        <w:pStyle w:val="ListParagraph"/>
        <w:ind w:left="0" w:hanging="0"/>
        <w:rPr>
          <w:bCs/>
        </w:rPr>
      </w:pPr>
      <w:r>
        <w:rPr/>
        <w:t xml:space="preserve">1.4.1. </w:t>
      </w:r>
      <w:r>
        <w:rPr>
          <w:bCs/>
        </w:rPr>
        <w:t>Комплексная мойка транспортных средств должна производиться по технологии контактной и бесконтактной мойки.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1.4.2.  Работы по комплексной мойке одного транспортного средства должны включать в себя: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бесконтактную мойку транспортного средства с использованием новых, специализированных, неразрушающих лакокрасочное и гальваническое покрытия моющих средств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мойку (чистку) резиновых (матерчатых) салонных ковриков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продувку воздухом уплотнительных дверных проемов, замков дверей, багажника и скрытых полостей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удаление влаги с кузова и дверных проемов до сухого состояния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чистка стекол с наружи и внутри салон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 уборка салона пылесосом, протирание пластика антистатическим средством.</w:t>
      </w:r>
    </w:p>
    <w:p>
      <w:pPr>
        <w:pStyle w:val="Style45"/>
        <w:jc w:val="left"/>
        <w:rPr>
          <w:rFonts w:ascii="Times New Roman" w:hAnsi="Times New Roman" w:eastAsia="Calibri" w:cs="Times New Roman"/>
          <w:color w:val="000000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/>
          <w:color w:val="000000"/>
          <w:kern w:val="0"/>
          <w:sz w:val="22"/>
          <w:szCs w:val="22"/>
          <w:lang w:val="ru-RU" w:eastAsia="en-US" w:bidi="ar-SA"/>
        </w:rPr>
        <w:t>Полная комплексная химчистка салона легкового автомобиля должна включать в себя: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-Сухую уборку в салоне машины.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-Влажную уборку поверхностей салона авто.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-Удаление загрязнений и пылевых отложений с обивки, ремней безопасности, решеток вентиляции, с применением моющего пылесоса и  моющих средств.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-Просушивание салона после окончания уборки с применением жидких типов средств.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-Нанесение веществ, которые повысят грязеотталкивающие свойства поверхностей салона.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1.4.3. Объем услуг по каждому транспортному средству является ориентировочным и может изменяться в зависимости от фактической потребности Заказчика в пределах общей цены Договора.</w:t>
      </w:r>
    </w:p>
    <w:p>
      <w:pPr>
        <w:pStyle w:val="Normal"/>
        <w:jc w:val="both"/>
        <w:rPr/>
      </w:pPr>
      <w:r>
        <w:rPr>
          <w:sz w:val="24"/>
          <w:szCs w:val="24"/>
        </w:rPr>
        <w:t>1.4.4. В случае необходимости внесения изменений в список автотранспорта Заказчик предоставляет Исполнителю измененный список не позднее 5 (Пяти) рабочих дней с момента таких изменений.</w:t>
      </w:r>
    </w:p>
    <w:p>
      <w:pPr>
        <w:pStyle w:val="ListParagraph"/>
        <w:ind w:left="0" w:hanging="0"/>
        <w:jc w:val="both"/>
        <w:rPr/>
      </w:pPr>
      <w:r>
        <w:rPr/>
        <w:t>1.4.5. Размеры боксов для мойки автотранспорта, должны обеспечивать свободный въезд в них автобусов ФОРД и грузовых автомобилей. Габариты ворот не менее 3,0 х 4,2 м.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1.4.6. Время работы мойки с 06:00 до 22:00 час.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1.4.7. Место оказания услуг: 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Кабардино-Балкарская Республика, г. Нальчик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1.4.8.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357" w:hanging="357"/>
        <w:jc w:val="center"/>
        <w:rPr>
          <w:caps/>
        </w:rPr>
      </w:pPr>
      <w:bookmarkStart w:id="15" w:name="_Toc143257074"/>
      <w:r>
        <w:rPr/>
        <w:t>2. Требования к продукции</w:t>
      </w:r>
      <w:bookmarkEnd w:id="15"/>
    </w:p>
    <w:p>
      <w:pPr>
        <w:pStyle w:val="Heading4"/>
        <w:numPr>
          <w:ilvl w:val="0"/>
          <w:numId w:val="0"/>
        </w:numPr>
        <w:ind w:left="1224" w:hanging="1224"/>
        <w:rPr/>
      </w:pPr>
      <w:bookmarkStart w:id="16" w:name="_Toc143257075"/>
      <w:r>
        <w:rPr/>
        <w:t>2.1. Требования к объемам и срокам оказания услуг</w:t>
      </w:r>
      <w:bookmarkEnd w:id="16"/>
    </w:p>
    <w:p>
      <w:pPr>
        <w:pStyle w:val="Heading3"/>
        <w:numPr>
          <w:ilvl w:val="0"/>
          <w:numId w:val="0"/>
        </w:numPr>
        <w:ind w:left="0" w:hanging="0"/>
        <w:rPr/>
      </w:pPr>
      <w:bookmarkStart w:id="17" w:name="_Toc143257076"/>
      <w:r>
        <w:rPr/>
        <w:t>2.1.1. Требования к срокам оказания услуг</w:t>
      </w:r>
      <w:bookmarkEnd w:id="17"/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2.1.1.1. Сроки выполнения услуг:</w:t>
      </w:r>
    </w:p>
    <w:p>
      <w:pPr>
        <w:pStyle w:val="Normal"/>
        <w:ind w:firstLine="28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Исполнитель должен принять автомобиль Заказчика в сроки не более 1 часа с момента обращения Заказчика;</w:t>
      </w:r>
    </w:p>
    <w:p>
      <w:pPr>
        <w:pStyle w:val="Normal"/>
        <w:ind w:firstLine="284"/>
        <w:rPr>
          <w:sz w:val="24"/>
          <w:szCs w:val="24"/>
          <w:lang w:eastAsia="x-none"/>
        </w:rPr>
      </w:pPr>
      <w:r>
        <w:rPr>
          <w:sz w:val="24"/>
          <w:szCs w:val="24"/>
          <w:lang w:eastAsia="en-US"/>
        </w:rPr>
        <w:t>- Время мойки одного автомобиля Заказчика не более 1 часа с момента принятия автомобиля Исполнителем.</w:t>
      </w:r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18" w:name="_Toc143257077"/>
      <w:r>
        <w:rPr>
          <w:sz w:val="24"/>
          <w:szCs w:val="24"/>
        </w:rPr>
        <w:t>Таблица 2. Требования к срокам оказания услуг</w:t>
      </w:r>
      <w:bookmarkEnd w:id="18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3685"/>
        <w:gridCol w:w="2551"/>
        <w:gridCol w:w="3119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40" w:before="120" w:after="120"/>
              <w:jc w:val="center"/>
              <w:rPr>
                <w:rFonts w:eastAsia="Calibri"/>
                <w:sz w:val="24"/>
                <w:szCs w:val="24"/>
              </w:rPr>
            </w:pPr>
            <w:bookmarkStart w:id="19" w:name="_Hlk145499622_Копия_2"/>
            <w:r>
              <w:rPr>
                <w:rFonts w:eastAsia="Calibri"/>
                <w:iCs/>
                <w:sz w:val="24"/>
                <w:szCs w:val="24"/>
              </w:rPr>
              <w:t>Услуги по мойке транспортных средств Кабардино-Балкарского транспортного участка Южного филиала АО "ТК РусГидро</w:t>
            </w:r>
            <w:bookmarkEnd w:id="19"/>
            <w:r>
              <w:rPr>
                <w:rFonts w:eastAsia="Calibri"/>
                <w:iCs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Heading3"/>
        <w:numPr>
          <w:ilvl w:val="0"/>
          <w:numId w:val="0"/>
        </w:numPr>
        <w:ind w:left="0" w:hanging="0"/>
        <w:rPr/>
      </w:pPr>
      <w:bookmarkStart w:id="20" w:name="_Toc143257078"/>
      <w:r>
        <w:rPr/>
        <w:t>2.1.2. Требования к перечню и объему услуг</w:t>
      </w:r>
      <w:bookmarkEnd w:id="20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1" w:name="_Toc143257079"/>
      <w:bookmarkStart w:id="22" w:name="_Toc51339695"/>
      <w:r>
        <w:rPr>
          <w:sz w:val="24"/>
          <w:szCs w:val="24"/>
        </w:rPr>
        <w:t xml:space="preserve">Таблица 3. Перечень </w:t>
      </w:r>
      <w:bookmarkEnd w:id="22"/>
      <w:r>
        <w:rPr>
          <w:sz w:val="24"/>
          <w:szCs w:val="24"/>
        </w:rPr>
        <w:t>и объем оказываемых услуг</w:t>
      </w:r>
      <w:bookmarkEnd w:id="21"/>
    </w:p>
    <w:tbl>
      <w:tblPr>
        <w:tblStyle w:val="2f2"/>
        <w:tblW w:w="10349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7234"/>
        <w:gridCol w:w="1418"/>
        <w:gridCol w:w="992"/>
      </w:tblGrid>
      <w:tr>
        <w:trPr>
          <w:trHeight w:val="854" w:hRule="atLeast"/>
        </w:trPr>
        <w:tc>
          <w:tcPr>
            <w:tcW w:w="70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en-GB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en-GB" w:eastAsia="en-US" w:bidi="ar-SA"/>
              </w:rPr>
              <w:t>п/п</w:t>
            </w:r>
          </w:p>
        </w:tc>
        <w:tc>
          <w:tcPr>
            <w:tcW w:w="7234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услуг / этапа услуг</w:t>
            </w:r>
            <w:bookmarkStart w:id="23" w:name="_GoBack"/>
            <w:bookmarkEnd w:id="23"/>
          </w:p>
        </w:tc>
        <w:tc>
          <w:tcPr>
            <w:tcW w:w="141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Единица  измерения</w:t>
            </w:r>
          </w:p>
        </w:tc>
        <w:tc>
          <w:tcPr>
            <w:tcW w:w="992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TOYOTA LAND CRUISER 150  А 403 КР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96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TOYOTA FORTUNER А 423 КР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TOYOTA  CAMRY Н 063 ЕС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</w:t>
            </w: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ойка TOYOTA CAMRY г.н. Н 134 ЕВ 777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VW MULTIVAN А 486 ЕВ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LOGAN Р 376 ЕТ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DUSTER К 537 НР 126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DUSTER  К 592 НР 126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DUSTERР  Р 076 ЕУ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DUSTER С 918 ЕТ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RENAULT DUSTER  С 920 ЕТ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ГАЗ 322125 Т 486 ЕХ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ГАЗ NEXT A65R23 Р 710 ВЕ 126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ГАЗ A22R33 г.н. A 363 КО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FORD TRANSIT Р 018 ОМ 126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Ford Transit C 645 EУ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КАМАЗ  К3340 6520-53 К 202 ОК 126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Кран автомобильный КС-55713-1 на шасси КАМАЗ 65115-62 М 437 ЕТ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Кран-манипулятор Palfinger  Инмант IT-150 на шасси КАМАЗ 65117  659000 У 610 ЕТ 07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20" w:hRule="atLeast"/>
        </w:trPr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234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Комплексная мойка Экскаватор ELAZ-BL 888 26 УВ 9921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</w:tr>
      <w:tr>
        <w:trPr>
          <w:trHeight w:val="20" w:hRule="atLeast"/>
        </w:trPr>
        <w:tc>
          <w:tcPr>
            <w:tcW w:w="70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7234" w:type="dxa"/>
            <w:tcBorders>
              <w:left w:val="nil"/>
            </w:tcBorders>
          </w:tcPr>
          <w:p>
            <w:pPr>
              <w:pStyle w:val="Style4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Полная комплексная химчистка салона легкового автомобиля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Усл. Ед.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1224"/>
        <w:rPr/>
      </w:pPr>
      <w:bookmarkStart w:id="24" w:name="_Toc143257080"/>
      <w:bookmarkStart w:id="25" w:name="_Toc46743511"/>
      <w:r>
        <w:rPr/>
        <w:t xml:space="preserve">2.2.2. Требования к </w:t>
      </w:r>
      <w:bookmarkEnd w:id="25"/>
      <w:r>
        <w:rPr/>
        <w:t>качеству услуг</w:t>
      </w:r>
      <w:bookmarkEnd w:id="24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b/>
          <w:bCs/>
          <w:kern w:val="2"/>
          <w:sz w:val="24"/>
          <w:szCs w:val="24"/>
          <w:lang w:val="x-none" w:eastAsia="x-none"/>
        </w:rPr>
      </w:pPr>
      <w:bookmarkStart w:id="26" w:name="_Toc143257081"/>
      <w:r>
        <w:rPr>
          <w:b/>
          <w:bCs/>
          <w:kern w:val="2"/>
          <w:sz w:val="24"/>
          <w:szCs w:val="24"/>
          <w:lang w:val="x-none" w:eastAsia="x-none"/>
        </w:rPr>
        <w:t>Таблица </w:t>
      </w:r>
      <w:r>
        <w:rPr>
          <w:b/>
          <w:bCs/>
          <w:kern w:val="2"/>
          <w:sz w:val="24"/>
          <w:szCs w:val="24"/>
          <w:lang w:eastAsia="x-none"/>
        </w:rPr>
        <w:t>4</w:t>
      </w:r>
      <w:r>
        <w:rPr>
          <w:b/>
          <w:bCs/>
          <w:kern w:val="2"/>
          <w:sz w:val="24"/>
          <w:szCs w:val="24"/>
          <w:lang w:val="x-none" w:eastAsia="x-none"/>
        </w:rPr>
        <w:t xml:space="preserve">. Требования к </w:t>
      </w:r>
      <w:r>
        <w:rPr>
          <w:b/>
          <w:bCs/>
          <w:kern w:val="2"/>
          <w:sz w:val="24"/>
          <w:szCs w:val="24"/>
          <w:lang w:eastAsia="x-none"/>
        </w:rPr>
        <w:t>качеству услуг</w:t>
      </w:r>
      <w:bookmarkEnd w:id="26"/>
      <w:r>
        <w:rPr>
          <w:b/>
          <w:bCs/>
          <w:kern w:val="2"/>
          <w:sz w:val="24"/>
          <w:szCs w:val="24"/>
          <w:lang w:eastAsia="x-none"/>
        </w:rPr>
        <w:t xml:space="preserve"> </w:t>
      </w:r>
    </w:p>
    <w:tbl>
      <w:tblPr>
        <w:tblW w:w="10881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565"/>
        <w:gridCol w:w="4111"/>
        <w:gridCol w:w="1385"/>
        <w:gridCol w:w="1698"/>
        <w:gridCol w:w="1559"/>
      </w:tblGrid>
      <w:tr>
        <w:trPr/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eastAsia="Calibri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4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27" w:name="_Toc53499667"/>
            <w:r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27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19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Услуги по мойке транспортных средств должны осуществляться в специализированных помещениях, оборудованных</w:t>
            </w:r>
            <w:r>
              <w:rPr>
                <w:sz w:val="20"/>
                <w:szCs w:val="20"/>
              </w:rPr>
              <w:t xml:space="preserve"> технологическим оборудованием, позволяющим своевременно и качественно их оказывать.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-//-</w:t>
            </w:r>
          </w:p>
        </w:tc>
      </w:tr>
      <w:tr>
        <w:trPr>
          <w:trHeight w:val="215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Оказываемые услуги по мойке транспортных средств не должны наносить вред имуществу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Заказчика. Исполнитель несет ответственность за сохранность автотранспорта Заказчика с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момента приема транспортных средств на обслуживание и до передачи транспортных средств</w:t>
            </w:r>
          </w:p>
          <w:p>
            <w:pPr>
              <w:pStyle w:val="Normal"/>
              <w:widowControl w:val="false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Заказчику.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Согласие с требованием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ind w:left="357" w:hanging="0"/>
        <w:rPr>
          <w:sz w:val="24"/>
          <w:szCs w:val="24"/>
        </w:rPr>
      </w:pPr>
      <w:bookmarkStart w:id="28" w:name="_Toc143257082"/>
      <w:bookmarkStart w:id="29" w:name="_Toc53393312"/>
      <w:bookmarkStart w:id="30" w:name="_Toc53395937"/>
      <w:r>
        <w:rPr>
          <w:sz w:val="24"/>
          <w:szCs w:val="24"/>
        </w:rPr>
        <w:t>3.Требования к документации по ценообразованию</w:t>
      </w:r>
      <w:bookmarkEnd w:id="29"/>
      <w:bookmarkEnd w:id="30"/>
      <w:r>
        <w:rPr>
          <w:sz w:val="24"/>
          <w:szCs w:val="24"/>
        </w:rPr>
        <w:t xml:space="preserve"> на этапе закупки</w:t>
      </w:r>
      <w:bookmarkEnd w:id="28"/>
    </w:p>
    <w:p>
      <w:pPr>
        <w:pStyle w:val="Heading4"/>
        <w:numPr>
          <w:ilvl w:val="0"/>
          <w:numId w:val="0"/>
        </w:numPr>
        <w:ind w:left="0" w:hanging="432"/>
        <w:rPr>
          <w:b w:val="false"/>
        </w:rPr>
      </w:pPr>
      <w:bookmarkStart w:id="31" w:name="_Toc135932812"/>
      <w:bookmarkStart w:id="32" w:name="_Toc135933382"/>
      <w:bookmarkStart w:id="33" w:name="_Toc142635471"/>
      <w:bookmarkStart w:id="34" w:name="_Toc142635591"/>
      <w:bookmarkStart w:id="35" w:name="_Toc142635738"/>
      <w:bookmarkStart w:id="36" w:name="_Toc142635868"/>
      <w:bookmarkStart w:id="37" w:name="_Toc142933451"/>
      <w:bookmarkStart w:id="38" w:name="_Toc143179422"/>
      <w:r>
        <w:rPr>
          <w:b w:val="false"/>
        </w:rPr>
        <w:t xml:space="preserve">       </w:t>
      </w:r>
      <w:bookmarkStart w:id="39" w:name="_Toc143257083"/>
      <w:r>
        <w:rPr>
          <w:b w:val="false"/>
        </w:rPr>
        <w:t xml:space="preserve">3.1. Стоимость услуг за ТС должна включать в себя 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b w:val="false"/>
        </w:rPr>
        <w:t>все расходы Исполнителя, связанные с исполнением договора и быть выражена в рублях Российской Федерации.</w:t>
      </w:r>
      <w:bookmarkEnd w:id="39"/>
    </w:p>
    <w:tbl>
      <w:tblPr>
        <w:tblW w:w="989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76"/>
        <w:gridCol w:w="1869"/>
        <w:gridCol w:w="2402"/>
        <w:gridCol w:w="228"/>
        <w:gridCol w:w="222"/>
      </w:tblGrid>
      <w:tr>
        <w:trPr>
          <w:trHeight w:val="300" w:hRule="atLeast"/>
        </w:trPr>
        <w:tc>
          <w:tcPr>
            <w:tcW w:w="5176" w:type="dxa"/>
            <w:tcBorders/>
            <w:shd w:color="auto" w:fill="auto" w:val="clear"/>
            <w:vAlign w:val="bottom"/>
          </w:tcPr>
          <w:tbl>
            <w:tblPr>
              <w:tblW w:w="496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HBand="0" w:noVBand="1" w:firstColumn="1" w:lastRow="0" w:lastColumn="0" w:firstRow="1"/>
            </w:tblPr>
            <w:tblGrid>
              <w:gridCol w:w="4960"/>
            </w:tblGrid>
            <w:tr>
              <w:trPr>
                <w:trHeight w:val="300" w:hRule="atLeast"/>
              </w:trPr>
              <w:tc>
                <w:tcPr>
                  <w:tcW w:w="4960" w:type="dxa"/>
                  <w:tcBorders/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Ответственный исполнитель 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89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Кабардино-Балкарского  ТУ                                                                      Токмаков А.Н.</w:t>
            </w:r>
          </w:p>
        </w:tc>
      </w:tr>
      <w:tr>
        <w:trPr>
          <w:trHeight w:val="300" w:hRule="exact"/>
        </w:trPr>
        <w:tc>
          <w:tcPr>
            <w:tcW w:w="51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51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Технический куратор</w:t>
            </w:r>
          </w:p>
        </w:tc>
        <w:tc>
          <w:tcPr>
            <w:tcW w:w="18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897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</w:t>
            </w:r>
          </w:p>
        </w:tc>
      </w:tr>
      <w:tr>
        <w:trPr>
          <w:trHeight w:val="300" w:hRule="exact"/>
        </w:trPr>
        <w:tc>
          <w:tcPr>
            <w:tcW w:w="517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6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8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2" w:type="dxa"/>
            <w:tcBorders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93" w:right="707" w:gutter="0" w:header="680" w:top="737" w:footer="0" w:bottom="568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numPr>
        <w:ilvl w:val="2"/>
        <w:numId w:val="3"/>
      </w:numPr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8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3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>
    <w:name w:val="Ссылка указателя"/>
    <w:qFormat/>
    <w:rPr/>
  </w:style>
  <w:style w:type="character" w:styleId="Style21">
    <w:name w:val="Маркеры"/>
    <w:qFormat/>
    <w:rPr>
      <w:rFonts w:ascii="OpenSymbol" w:hAnsi="OpenSymbol" w:eastAsia="OpenSymbol" w:cs="OpenSymbol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/>
  </w:style>
  <w:style w:type="paragraph" w:styleId="Style2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8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29" w:customStyle="1">
    <w:name w:val="Раздел регламента"/>
    <w:basedOn w:val="Normal"/>
    <w:qFormat/>
    <w:rsid w:val="00e228fa"/>
    <w:pPr/>
    <w:rPr/>
  </w:style>
  <w:style w:type="paragraph" w:styleId="Style3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6" w:customStyle="1">
    <w:name w:val="Подподпункт"/>
    <w:basedOn w:val="Style28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7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8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0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40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1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2" w:customStyle="1">
    <w:name w:val="Раздел договора"/>
    <w:basedOn w:val="Normal"/>
    <w:next w:val="Style41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1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2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1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Title">
    <w:name w:val="Title"/>
    <w:basedOn w:val="Normal"/>
    <w:next w:val="Normal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新細明體" w:cs="Times New Roman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3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4">
    <w:name w:val="Содержимое врезки"/>
    <w:basedOn w:val="Normal"/>
    <w:qFormat/>
    <w:pPr/>
    <w:rPr/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115" w:customStyle="1">
    <w:name w:val="Нет списка1"/>
    <w:uiPriority w:val="99"/>
    <w:semiHidden/>
    <w:unhideWhenUsed/>
    <w:qFormat/>
    <w:rsid w:val="00bc45fd"/>
  </w:style>
  <w:style w:type="numbering" w:styleId="116" w:customStyle="1">
    <w:name w:val="Нет списка11"/>
    <w:uiPriority w:val="99"/>
    <w:semiHidden/>
    <w:unhideWhenUsed/>
    <w:qFormat/>
    <w:rsid w:val="00394980"/>
  </w:style>
  <w:style w:type="numbering" w:styleId="117" w:customStyle="1">
    <w:name w:val="Стиль11"/>
    <w:uiPriority w:val="99"/>
    <w:qFormat/>
    <w:rsid w:val="00394980"/>
  </w:style>
  <w:style w:type="numbering" w:styleId="213" w:customStyle="1">
    <w:name w:val="Стиль21"/>
    <w:uiPriority w:val="99"/>
    <w:qFormat/>
    <w:rsid w:val="00394980"/>
  </w:style>
  <w:style w:type="numbering" w:styleId="214" w:customStyle="1">
    <w:name w:val="Нет списка2"/>
    <w:uiPriority w:val="99"/>
    <w:semiHidden/>
    <w:unhideWhenUsed/>
    <w:qFormat/>
    <w:rsid w:val="00394980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538D-35AB-4059-8D72-91A12D0C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AlterOffice/3.4.0.9$Linux_X86_64 LibreOffice_project/b8daf9e823b1a5463a2f48435ddc2e8696e7d4fc</Application>
  <AppVersion>15.0000</AppVersion>
  <Pages>6</Pages>
  <Words>1181</Words>
  <Characters>6983</Characters>
  <CharactersWithSpaces>8569</CharactersWithSpaces>
  <Paragraphs>250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2023-08-21T05:56:00Z</dcterms:created>
  <dc:creator>Быстров Олег Геннадьевич</dc:creator>
  <dc:description/>
  <dc:language>ru-RU</dc:language>
  <cp:lastModifiedBy>bichoevajt@corp.gidroogk.com</cp:lastModifiedBy>
  <cp:lastPrinted>2023-09-14T10:52:00Z</cp:lastPrinted>
  <dcterms:modified xsi:type="dcterms:W3CDTF">2026-06-05T10:44:28Z</dcterms:modified>
  <cp:revision>13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