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settings.xml" ContentType="application/vnd.openxmlformats-officedocument.wordprocessingml.settings+xml"/>
  <Override PartName="/word/footer8.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партиями согласно Календарному графику поставки (</w:t>
      </w:r>
      <w:r>
        <w:rPr>
          <w:sz w:val="24"/>
        </w:rPr>
        <w:t>Приложение № 2</w:t>
      </w:r>
      <w:r>
        <w:rPr>
          <w:b w:val="false"/>
          <w:sz w:val="24"/>
        </w:rPr>
        <w:t>).</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 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г. ___________, ул._______________, д.____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w:t>
      </w:r>
      <w:r>
        <w:rPr>
          <w:sz w:val="24"/>
        </w:rPr>
        <w:t>согласно Календарному графику поставки (Приложение № 2)</w:t>
      </w:r>
      <w:r>
        <w:rPr>
          <w:sz w:val="24"/>
          <w:szCs w:val="24"/>
        </w:rPr>
        <w:t xml:space="preserve">.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составляет __________(__________________) рублей _____ копеек, в том числе НДС (20 %) в размере ___________(____________) рублей ____ копеек.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а также стоимость партии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(тридцати процентов) от стоимости первой партии Продукции, согласно Спецификации (Приложение № 1) и Календарному графику поставки (Приложение № 2), выплачивается в течение 30 (тридцати) календарных дней с даты получения Покупателем счета, выставленного Поставщиком, но не ранее 30 (тридцати) календарных дней до даты поставки первой партии Продукции, с учетом п. 2.6. Договора. Авансовый платеж засчитывается в счет оплаты соответствующей партии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2.5.2. Авансовые платежи в размере 30% (тридцати процентов) от стоимости последующих партий Продукции, согласно Спецификации (Приложение № 1) и Календарному графику поставки (Приложение № 2), выплачиваются в течение 30 (тридцати) календарных дней с даты получения счета, выставленного Поставщиком, но не ранее 30 (тридцати) календарных дней до даты поставки соответствующей партии Продукции согласно Календарному графику поставки (Приложение № 2). Авансовый платеж засчитывается в счет оплаты соответствующей партии Продукции с учетом п. 2.6.</w:t>
      </w:r>
    </w:p>
    <w:p>
      <w:pPr>
        <w:pStyle w:val="Normal"/>
        <w:rPr>
          <w:sz w:val="24"/>
          <w:szCs w:val="24"/>
        </w:rPr>
      </w:pPr>
      <w:r>
        <w:rPr>
          <w:sz w:val="24"/>
          <w:szCs w:val="24"/>
        </w:rPr>
        <w:t>2.5.3. Платеж в размере 70% (семидесяти процентов) от стоимости поставленной партии Продукции, согласно Спецификации (Приложение № 1) и Календарного графика поставки (Приложение № 2), производится Покупателем</w:t>
      </w:r>
      <w:r>
        <w:rPr>
          <w:sz w:val="24"/>
          <w:szCs w:val="24"/>
          <w:shd w:fill="auto" w:val="clear"/>
        </w:rPr>
        <w:t xml:space="preserve"> 7 (семи) рабочих дней с даты подписания Товарной накладной по форме ТОРГ-12 или Универсального передаточного документа (УПД) на соответствующую партию Продукции, при условии получения счета, выставленного Поставщиком с учетом п. 2.6 Договора. </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highlight w:val="none"/>
          <w:shd w:fill="auto" w:val="clear"/>
        </w:rPr>
      </w:pPr>
      <w:r>
        <w:rPr>
          <w:sz w:val="24"/>
          <w:szCs w:val="24"/>
          <w:shd w:fill="auto" w:val="clear"/>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highlight w:val="none"/>
          <w:shd w:fill="auto" w:val="clear"/>
        </w:rPr>
      </w:pPr>
      <w:r>
        <w:rPr>
          <w:sz w:val="24"/>
          <w:szCs w:val="24"/>
          <w:shd w:fill="auto" w:val="clear"/>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highlight w:val="none"/>
          <w:shd w:fill="auto" w:val="clear"/>
        </w:rPr>
      </w:pPr>
      <w:r>
        <w:rPr>
          <w:sz w:val="24"/>
          <w:szCs w:val="24"/>
          <w:shd w:fill="auto" w:val="clear"/>
        </w:rPr>
        <w:t>По соглашению сторон возможны иные формы расчетов, не противоречащие законодательству Российской Федерации.</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Поставщик обязан представить Покупателю счета-фактуры </w:t>
      </w:r>
      <w:r>
        <w:rPr>
          <w:sz w:val="24"/>
          <w:szCs w:val="24"/>
          <w:shd w:fill="auto" w:val="clear"/>
        </w:rPr>
        <w:t>(УПД)</w:t>
      </w:r>
      <w:r>
        <w:rPr>
          <w:sz w:val="24"/>
          <w:szCs w:val="24"/>
          <w:shd w:fill="auto" w:val="clear"/>
        </w:rPr>
        <w:t xml:space="preserve">,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w:t>
      </w:r>
      <w:r>
        <w:rPr>
          <w:sz w:val="24"/>
          <w:szCs w:val="24"/>
          <w:shd w:fill="auto" w:val="clear"/>
        </w:rPr>
        <w:t>(УПД)</w:t>
      </w:r>
      <w:r>
        <w:rPr>
          <w:sz w:val="24"/>
          <w:szCs w:val="24"/>
          <w:shd w:fill="auto" w:val="clear"/>
        </w:rPr>
        <w:t xml:space="preserve">, он обязан произвести замену счета-фактуры </w:t>
      </w:r>
      <w:r>
        <w:rPr>
          <w:sz w:val="24"/>
          <w:szCs w:val="24"/>
          <w:shd w:fill="auto" w:val="clear"/>
        </w:rPr>
        <w:t>(УПД)</w:t>
      </w:r>
      <w:r>
        <w:rPr>
          <w:sz w:val="24"/>
          <w:szCs w:val="24"/>
          <w:shd w:fill="auto" w:val="clear"/>
        </w:rPr>
        <w:t xml:space="preserve">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w:t>
      </w:r>
      <w:bookmarkStart w:id="0" w:name="_GoBack"/>
      <w:bookmarkEnd w:id="0"/>
      <w:r>
        <w:rPr>
          <w:sz w:val="24"/>
          <w:szCs w:val="24"/>
          <w:shd w:fill="auto" w:val="clear"/>
        </w:rPr>
        <w:t xml:space="preserve"> дней с даты получения авансового платежа счета-фактуры </w:t>
      </w:r>
      <w:r>
        <w:rPr>
          <w:sz w:val="24"/>
          <w:szCs w:val="24"/>
          <w:shd w:fill="auto" w:val="clear"/>
        </w:rPr>
        <w:t>(УПД)</w:t>
      </w:r>
      <w:r>
        <w:rPr>
          <w:sz w:val="24"/>
          <w:szCs w:val="24"/>
          <w:shd w:fill="auto" w:val="clear"/>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highlight w:val="none"/>
          <w:shd w:fill="auto" w:val="clear"/>
        </w:rPr>
      </w:pPr>
      <w:r>
        <w:rPr>
          <w:sz w:val="24"/>
          <w:szCs w:val="24"/>
          <w:shd w:fill="auto" w:val="clear"/>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tabs>
          <w:tab w:val="clear" w:pos="720"/>
          <w:tab w:val="left" w:pos="851" w:leader="none"/>
          <w:tab w:val="left" w:pos="1425" w:leader="none"/>
        </w:tabs>
        <w:spacing w:before="0" w:after="120"/>
        <w:ind w:left="0" w:firstLine="567"/>
        <w:contextualSpacing w:val="false"/>
        <w:jc w:val="both"/>
        <w:rPr>
          <w:highlight w:val="none"/>
          <w:shd w:fill="auto" w:val="clear"/>
        </w:rPr>
      </w:pPr>
      <w:r>
        <w:rPr>
          <w:rFonts w:cs="Times New Roman"/>
          <w:color w:val="000000"/>
          <w:sz w:val="24"/>
          <w:szCs w:val="24"/>
          <w:shd w:fill="auto" w:val="clear"/>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 xml:space="preserve">Качество, количество и комплектность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Сертификат качества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Технический паспорт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Инструкция по эксплуатации (монтажу и т.п.)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Упаковочный лист на Продукцию (каждую партию отгруженной Продукции)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Сертификат о происхождении Продукции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pPr>
      <w:r>
        <w:rPr>
          <w:sz w:val="24"/>
          <w:szCs w:val="24"/>
          <w:shd w:fill="auto" w:val="clear"/>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auto" w:val="clear"/>
        </w:rPr>
        <w:t>(</w:t>
      </w:r>
      <w:r>
        <w:rPr>
          <w:rFonts w:cs="Times New Roman"/>
          <w:color w:val="000000"/>
          <w:sz w:val="24"/>
          <w:szCs w:val="24"/>
          <w:shd w:fill="auto" w:val="clear"/>
        </w:rPr>
        <w:t xml:space="preserve">в ред. </w:t>
      </w:r>
      <w:hyperlink r:id="rId2">
        <w:r>
          <w:rPr>
            <w:rStyle w:val="Hyperlink"/>
            <w:rFonts w:cs="Times New Roman"/>
            <w:color w:val="000000"/>
            <w:sz w:val="24"/>
            <w:szCs w:val="24"/>
            <w:u w:val="none"/>
            <w:shd w:fill="auto" w:val="clear"/>
          </w:rPr>
          <w:t>Постановления Правительства РФ от 21.12.2020 № 2200</w:t>
        </w:r>
      </w:hyperlink>
      <w:r>
        <w:rPr>
          <w:rFonts w:cs="Times New Roman"/>
          <w:sz w:val="24"/>
          <w:szCs w:val="24"/>
          <w:shd w:fill="auto" w:val="clear"/>
        </w:rPr>
        <w:t>)</w:t>
      </w:r>
      <w:r>
        <w:rPr>
          <w:sz w:val="24"/>
          <w:szCs w:val="24"/>
          <w:shd w:fill="auto" w:val="clear"/>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shd w:fill="auto" w:val="clear"/>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shd w:fill="auto" w:val="clear"/>
        </w:rPr>
        <w:t xml:space="preserve">товарно-транспортную накладную формы №1-Т </w:t>
      </w:r>
      <w:r>
        <w:rPr>
          <w:color w:val="000000"/>
          <w:sz w:val="24"/>
          <w:szCs w:val="24"/>
          <w:shd w:fill="auto" w:val="clear"/>
        </w:rPr>
        <w:t xml:space="preserve">(для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color w:val="000000"/>
          <w:sz w:val="24"/>
          <w:szCs w:val="24"/>
          <w:shd w:fill="auto" w:val="clear"/>
        </w:rPr>
        <w:t xml:space="preserve">(в ред. </w:t>
      </w:r>
      <w:hyperlink r:id="rId3">
        <w:r>
          <w:rPr>
            <w:rStyle w:val="Hyperlink"/>
            <w:rFonts w:cs="Times New Roman"/>
            <w:color w:val="000000"/>
            <w:sz w:val="24"/>
            <w:szCs w:val="24"/>
            <w:u w:val="none"/>
            <w:shd w:fill="auto" w:val="clear"/>
          </w:rPr>
          <w:t>Постановления Правительства РФ от 21.12.2020 № 2200</w:t>
        </w:r>
      </w:hyperlink>
      <w:r>
        <w:rPr>
          <w:rFonts w:cs="Times New Roman"/>
          <w:color w:val="000000"/>
          <w:sz w:val="24"/>
          <w:szCs w:val="24"/>
          <w:shd w:fill="auto" w:val="clear"/>
        </w:rPr>
        <w:t>)</w:t>
      </w:r>
      <w:r>
        <w:rPr>
          <w:color w:val="000000"/>
          <w:sz w:val="24"/>
          <w:szCs w:val="24"/>
          <w:shd w:fill="auto" w:val="clear"/>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shd w:fill="auto" w:val="clear"/>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shd w:fill="auto" w:val="clear"/>
        </w:rPr>
        <w:t>товарно-транспортной накладной по форме №1-Т</w:t>
      </w:r>
      <w:r>
        <w:rPr>
          <w:sz w:val="24"/>
          <w:szCs w:val="24"/>
          <w:shd w:fill="auto" w:val="clear"/>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auto" w:val="clear"/>
        </w:rPr>
        <w:t>(</w:t>
      </w:r>
      <w:r>
        <w:rPr>
          <w:rFonts w:cs="Times New Roman"/>
          <w:color w:val="000000"/>
          <w:sz w:val="24"/>
          <w:szCs w:val="24"/>
          <w:shd w:fill="auto" w:val="clear"/>
        </w:rPr>
        <w:t xml:space="preserve">в ред. </w:t>
      </w:r>
      <w:hyperlink r:id="rId4">
        <w:r>
          <w:rPr>
            <w:rStyle w:val="Hyperlink"/>
            <w:rFonts w:cs="Times New Roman"/>
            <w:color w:val="000000"/>
            <w:sz w:val="24"/>
            <w:szCs w:val="24"/>
            <w:u w:val="none"/>
            <w:shd w:fill="auto" w:val="clear"/>
          </w:rPr>
          <w:t>Постановления Правительства РФ от 21.12.2020 № 2200</w:t>
        </w:r>
      </w:hyperlink>
      <w:r>
        <w:rPr>
          <w:rFonts w:cs="Times New Roman"/>
          <w:sz w:val="24"/>
          <w:szCs w:val="24"/>
          <w:shd w:fill="auto" w:val="clear"/>
        </w:rPr>
        <w:t>)</w:t>
      </w:r>
      <w:r>
        <w:rPr>
          <w:sz w:val="24"/>
          <w:szCs w:val="24"/>
          <w:shd w:fill="auto" w:val="clear"/>
        </w:rPr>
        <w:t xml:space="preserve">. В случае отсутствия замечаний Покупатель подписывает </w:t>
      </w:r>
      <w:r>
        <w:rPr>
          <w:color w:val="000000"/>
          <w:sz w:val="24"/>
          <w:szCs w:val="24"/>
          <w:shd w:fill="auto" w:val="clear"/>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На Продукцию устанавливается гарантийный срок, равный _____ (________________)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shd w:fill="auto" w:val="clear"/>
        </w:rPr>
        <w:t>Покупателем в соответствии с п. 3.14. Договора</w:t>
      </w:r>
      <w:bookmarkEnd w:id="1"/>
      <w:bookmarkEnd w:id="2"/>
      <w:r>
        <w:rPr>
          <w:sz w:val="24"/>
          <w:szCs w:val="24"/>
          <w:shd w:fill="auto" w:val="clear"/>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highlight w:val="none"/>
          <w:shd w:fill="auto" w:val="clear"/>
        </w:rPr>
      </w:pPr>
      <w:r>
        <w:rPr>
          <w:sz w:val="24"/>
          <w:szCs w:val="24"/>
          <w:shd w:fill="auto" w:val="clear"/>
        </w:rPr>
        <w:t>Поставка Продукции по Договору осуществляется Поставщиком партиями в соответствии с Календарным графиком в Место поставки согласно п.1.4.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bCs/>
          <w:sz w:val="24"/>
          <w:szCs w:val="24"/>
          <w:shd w:fill="auto" w:val="clear"/>
          <w:lang w:eastAsia="x-none"/>
        </w:rPr>
        <w:t>Покупатель вправе в одностороннем порядке, не позднее чем за 30 (тридцать)  календарных дней до даты поставки соответствующей партии</w:t>
      </w:r>
      <w:r>
        <w:rPr>
          <w:sz w:val="24"/>
          <w:szCs w:val="24"/>
          <w:shd w:fill="auto" w:val="clear"/>
        </w:rPr>
        <w:t xml:space="preserve"> Продукции</w:t>
      </w:r>
      <w:r>
        <w:rPr>
          <w:bCs/>
          <w:sz w:val="24"/>
          <w:szCs w:val="24"/>
          <w:shd w:fill="auto" w:val="clear"/>
          <w:lang w:eastAsia="x-none"/>
        </w:rPr>
        <w:t>, исключить (уменьшить) часть Продукции. Данные изменения будут оформлены дополнительным соглашением к Договору.</w:t>
      </w:r>
      <w:r>
        <w:rPr>
          <w:sz w:val="24"/>
          <w:szCs w:val="24"/>
          <w:shd w:fill="auto" w:val="clear"/>
        </w:rPr>
        <w:t xml:space="preserve"> </w:t>
      </w:r>
    </w:p>
    <w:p>
      <w:pPr>
        <w:pStyle w:val="Normal"/>
        <w:widowControl w:val="false"/>
        <w:shd w:val="clear" w:color="auto" w:fill="FFFFFF"/>
        <w:tabs>
          <w:tab w:val="clear" w:pos="720"/>
          <w:tab w:val="left" w:pos="1276" w:leader="none"/>
        </w:tabs>
        <w:spacing w:before="0" w:after="120"/>
        <w:ind w:left="360" w:hanging="0"/>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w:t>
      </w:r>
      <w:r>
        <w:rPr>
          <w:sz w:val="28"/>
          <w:szCs w:val="28"/>
          <w:shd w:fill="auto" w:val="clear"/>
        </w:rPr>
        <w:t xml:space="preserve"> </w:t>
      </w:r>
      <w:r>
        <w:rPr>
          <w:sz w:val="24"/>
          <w:szCs w:val="24"/>
          <w:shd w:fill="auto" w:val="clear"/>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tabs>
          <w:tab w:val="clear" w:pos="720"/>
          <w:tab w:val="left" w:pos="993" w:leader="none"/>
          <w:tab w:val="left" w:pos="1276" w:leader="none"/>
        </w:tabs>
        <w:spacing w:before="0" w:after="120"/>
        <w:ind w:left="0" w:firstLine="567"/>
        <w:jc w:val="both"/>
        <w:rPr>
          <w:highlight w:val="none"/>
          <w:shd w:fill="auto" w:val="clear"/>
        </w:rPr>
      </w:pPr>
      <w:r>
        <w:rPr>
          <w:sz w:val="24"/>
          <w:szCs w:val="24"/>
          <w:shd w:fill="auto" w:val="clear"/>
        </w:rPr>
        <w:t xml:space="preserve">В случае нарушения Поставщиком обязательств по поставке партии Продукции (нарушение срока поставки, недопоставка), а также несвоевременного устранения выявленных недостатков Продукции, согласно п.3.14 Договора Поставщик вправе потребовать уплаты Покупателем: </w:t>
      </w:r>
    </w:p>
    <w:p>
      <w:pPr>
        <w:pStyle w:val="Normal"/>
        <w:tabs>
          <w:tab w:val="clear" w:pos="720"/>
          <w:tab w:val="left" w:pos="1134" w:leader="none"/>
        </w:tabs>
        <w:jc w:val="both"/>
        <w:rPr>
          <w:highlight w:val="none"/>
          <w:shd w:fill="auto" w:val="clear"/>
        </w:rPr>
      </w:pPr>
      <w:r>
        <w:rPr>
          <w:rFonts w:eastAsia="Calibri"/>
          <w:bCs/>
          <w:sz w:val="24"/>
          <w:szCs w:val="24"/>
          <w:shd w:fill="auto" w:val="clear"/>
        </w:rPr>
        <w:tab/>
        <w:t>- неустойки в размере 0,1 (ноль целых и одна десятая) процента от цены партии Продукции, за каждый день просрочки поставки Продукции;</w:t>
      </w:r>
    </w:p>
    <w:p>
      <w:pPr>
        <w:pStyle w:val="Normal"/>
        <w:tabs>
          <w:tab w:val="clear" w:pos="720"/>
          <w:tab w:val="left" w:pos="1134" w:leader="none"/>
        </w:tabs>
        <w:jc w:val="both"/>
        <w:rPr>
          <w:highlight w:val="none"/>
          <w:shd w:fill="auto" w:val="clear"/>
        </w:rPr>
      </w:pPr>
      <w:r>
        <w:rPr>
          <w:rFonts w:eastAsia="Calibri"/>
          <w:bCs/>
          <w:sz w:val="24"/>
          <w:szCs w:val="24"/>
          <w:shd w:fill="auto" w:val="clear"/>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в целом по Договору; </w:t>
      </w:r>
    </w:p>
    <w:p>
      <w:pPr>
        <w:pStyle w:val="Normal"/>
        <w:widowControl w:val="false"/>
        <w:tabs>
          <w:tab w:val="clear" w:pos="720"/>
          <w:tab w:val="left" w:pos="1276" w:leader="none"/>
        </w:tabs>
        <w:spacing w:before="0" w:after="120"/>
        <w:jc w:val="both"/>
        <w:rPr>
          <w:highlight w:val="none"/>
          <w:shd w:fill="auto" w:val="clear"/>
        </w:rPr>
      </w:pPr>
      <w:r>
        <w:rPr>
          <w:rFonts w:eastAsia="Calibri"/>
          <w:bCs/>
          <w:sz w:val="24"/>
          <w:szCs w:val="24"/>
          <w:shd w:fill="auto" w:val="clear"/>
        </w:rPr>
        <w:tab/>
        <w:t>-неустойки в размере 0,1 (ноль целых и одна десятая) процента от стоимости партии Продукции за каждый день просрочки – в случае несвоевременного устранения недостатков, не влияющих на возможность эксплуатации (использования) Продукции в целом по Договору.</w:t>
      </w:r>
      <w:r>
        <w:rPr>
          <w:sz w:val="24"/>
          <w:szCs w:val="24"/>
          <w:shd w:fill="auto" w:val="clear"/>
        </w:rPr>
        <w:tab/>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В случае, если в результате составления и выставления Поставщиком счетов-фактур </w:t>
      </w:r>
      <w:r>
        <w:rPr>
          <w:sz w:val="24"/>
          <w:szCs w:val="24"/>
          <w:shd w:fill="auto" w:val="clear"/>
        </w:rPr>
        <w:t>(УПД)</w:t>
      </w:r>
      <w:r>
        <w:rPr>
          <w:sz w:val="24"/>
          <w:szCs w:val="24"/>
          <w:shd w:fill="auto" w:val="clear"/>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w:t>
      </w:r>
      <w:r>
        <w:rPr>
          <w:sz w:val="24"/>
          <w:szCs w:val="24"/>
          <w:shd w:fill="auto" w:val="clear"/>
        </w:rPr>
        <w:t>В случае нарушения Поставщиком сроков, предусмотренных п. 2.9. Договора,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highlight w:val="none"/>
          <w:shd w:fill="auto" w:val="clear"/>
        </w:rPr>
      </w:pPr>
      <w:r>
        <w:rPr>
          <w:sz w:val="24"/>
          <w:szCs w:val="24"/>
          <w:shd w:fill="auto" w:val="clear"/>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highlight w:val="none"/>
          <w:shd w:fill="auto" w:val="clear"/>
        </w:rPr>
      </w:pPr>
      <w:r>
        <w:rPr>
          <w:sz w:val="24"/>
          <w:szCs w:val="24"/>
          <w:shd w:fill="auto" w:val="clear"/>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highlight w:val="none"/>
          <w:shd w:fill="auto" w:val="clear"/>
        </w:rPr>
      </w:pPr>
      <w:r>
        <w:rPr>
          <w:sz w:val="24"/>
          <w:szCs w:val="24"/>
          <w:shd w:fill="auto" w:val="clear"/>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highlight w:val="none"/>
          <w:shd w:fill="auto" w:val="clear"/>
        </w:rPr>
      </w:pPr>
      <w:r>
        <w:rPr>
          <w:sz w:val="24"/>
          <w:szCs w:val="24"/>
          <w:shd w:fill="auto" w:val="clear"/>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highlight w:val="none"/>
          <w:shd w:fill="auto" w:val="clear"/>
        </w:rPr>
      </w:pPr>
      <w:r>
        <w:rPr>
          <w:sz w:val="24"/>
          <w:szCs w:val="24"/>
          <w:shd w:fill="auto" w:val="clear"/>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highlight w:val="none"/>
          <w:shd w:fill="auto" w:val="clear"/>
        </w:rPr>
      </w:pPr>
      <w:r>
        <w:rPr>
          <w:sz w:val="24"/>
          <w:szCs w:val="24"/>
          <w:shd w:fill="auto" w:val="clear"/>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highlight w:val="none"/>
          <w:shd w:fill="auto" w:val="clear"/>
        </w:rPr>
      </w:pPr>
      <w:r>
        <w:rPr>
          <w:sz w:val="24"/>
          <w:szCs w:val="24"/>
          <w:shd w:fill="auto" w:val="clear"/>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highlight w:val="none"/>
          <w:shd w:fill="auto" w:val="clear"/>
        </w:rPr>
      </w:pPr>
      <w:r>
        <w:rPr>
          <w:sz w:val="24"/>
          <w:szCs w:val="24"/>
          <w:shd w:fill="auto" w:val="clear"/>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highlight w:val="none"/>
          <w:shd w:fill="auto" w:val="clear"/>
        </w:rPr>
      </w:pPr>
      <w:r>
        <w:rPr>
          <w:sz w:val="24"/>
          <w:szCs w:val="24"/>
          <w:shd w:fill="auto" w:val="clear"/>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highlight w:val="none"/>
          <w:shd w:fill="auto" w:val="clear"/>
        </w:rPr>
      </w:pPr>
      <w:r>
        <w:rPr>
          <w:sz w:val="24"/>
          <w:szCs w:val="24"/>
          <w:shd w:fill="auto" w:val="clear"/>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highlight w:val="none"/>
          <w:shd w:fill="auto" w:val="clear"/>
        </w:rPr>
      </w:pPr>
      <w:r>
        <w:rPr>
          <w:sz w:val="24"/>
          <w:szCs w:val="24"/>
          <w:shd w:fill="auto" w:val="clear"/>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highlight w:val="none"/>
          <w:shd w:fill="auto" w:val="clear"/>
        </w:rPr>
      </w:pPr>
      <w:r>
        <w:rPr>
          <w:sz w:val="24"/>
          <w:szCs w:val="24"/>
          <w:shd w:fill="auto" w:val="clear"/>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highlight w:val="none"/>
          <w:shd w:fill="auto" w:val="clear"/>
        </w:rPr>
      </w:pPr>
      <w:r>
        <w:rPr>
          <w:sz w:val="24"/>
          <w:szCs w:val="24"/>
          <w:shd w:fill="auto" w:val="clear"/>
        </w:rPr>
        <w:t>выписка из торгового реестра страны инкорпорации;</w:t>
      </w:r>
    </w:p>
    <w:p>
      <w:pPr>
        <w:pStyle w:val="Normal"/>
        <w:numPr>
          <w:ilvl w:val="0"/>
          <w:numId w:val="9"/>
        </w:numPr>
        <w:spacing w:before="0" w:after="120"/>
        <w:ind w:left="709" w:hanging="283"/>
        <w:outlineLvl w:val="0"/>
        <w:rPr>
          <w:highlight w:val="none"/>
          <w:shd w:fill="auto" w:val="clear"/>
        </w:rPr>
      </w:pPr>
      <w:r>
        <w:rPr>
          <w:sz w:val="24"/>
          <w:szCs w:val="24"/>
          <w:shd w:fill="auto" w:val="clear"/>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highlight w:val="none"/>
          <w:shd w:fill="auto" w:val="clear"/>
        </w:rPr>
      </w:pPr>
      <w:r>
        <w:rPr>
          <w:color w:val="000000"/>
          <w:sz w:val="24"/>
          <w:szCs w:val="24"/>
          <w:shd w:fill="auto" w:val="clear"/>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shd w:fill="auto" w:val="clear"/>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highlight w:val="none"/>
          <w:shd w:fill="auto" w:val="clear"/>
        </w:rPr>
      </w:pPr>
      <w:r>
        <w:rPr>
          <w:bCs/>
          <w:color w:val="000000"/>
          <w:sz w:val="24"/>
          <w:szCs w:val="24"/>
          <w:shd w:fill="auto" w:val="clear"/>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highlight w:val="none"/>
          <w:shd w:fill="auto" w:val="clear"/>
        </w:rPr>
      </w:pPr>
      <w:r>
        <w:rPr>
          <w:bCs/>
          <w:color w:val="000000"/>
          <w:sz w:val="24"/>
          <w:szCs w:val="24"/>
          <w:shd w:fill="auto" w:val="clear"/>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highlight w:val="none"/>
          <w:shd w:fill="auto" w:val="clear"/>
        </w:rPr>
      </w:pPr>
      <w:r>
        <w:rPr>
          <w:bCs/>
          <w:color w:val="000000"/>
          <w:sz w:val="24"/>
          <w:szCs w:val="24"/>
          <w:shd w:fill="auto" w:val="clear"/>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highlight w:val="none"/>
          <w:shd w:fill="auto" w:val="clear"/>
        </w:rPr>
      </w:pPr>
      <w:r>
        <w:rPr>
          <w:bCs/>
          <w:color w:val="000000"/>
          <w:sz w:val="24"/>
          <w:szCs w:val="24"/>
          <w:shd w:fill="auto" w:val="clear"/>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highlight w:val="none"/>
          <w:shd w:fill="auto" w:val="clear"/>
        </w:rPr>
      </w:pPr>
      <w:r>
        <w:rPr>
          <w:bCs/>
          <w:color w:val="000000"/>
          <w:sz w:val="24"/>
          <w:szCs w:val="24"/>
          <w:shd w:fill="auto" w:val="clear"/>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highlight w:val="none"/>
          <w:shd w:fill="auto" w:val="clear"/>
        </w:rPr>
      </w:pPr>
      <w:r>
        <w:rPr>
          <w:color w:val="000000"/>
          <w:sz w:val="24"/>
          <w:szCs w:val="24"/>
          <w:shd w:fill="auto" w:val="clear"/>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highlight w:val="none"/>
          <w:shd w:fill="auto" w:val="clear"/>
        </w:rPr>
      </w:pPr>
      <w:r>
        <w:rPr>
          <w:sz w:val="24"/>
          <w:szCs w:val="24"/>
          <w:shd w:fill="auto" w:val="clear"/>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highlight w:val="none"/>
          <w:shd w:fill="auto" w:val="clear"/>
        </w:rPr>
      </w:pPr>
      <w:r>
        <w:rPr>
          <w:sz w:val="24"/>
          <w:szCs w:val="24"/>
          <w:shd w:fill="auto" w:val="clea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highlight w:val="none"/>
          <w:shd w:fill="auto" w:val="clear"/>
        </w:rPr>
      </w:pPr>
      <w:r>
        <w:rPr>
          <w:sz w:val="24"/>
          <w:szCs w:val="24"/>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numPr>
          <w:ilvl w:val="0"/>
          <w:numId w:val="0"/>
        </w:numPr>
        <w:tabs>
          <w:tab w:val="clear" w:pos="720"/>
          <w:tab w:val="left" w:pos="567" w:leader="none"/>
        </w:tabs>
        <w:bidi w:val="0"/>
        <w:spacing w:before="0" w:after="120"/>
        <w:ind w:left="0" w:right="0" w:firstLine="567"/>
        <w:jc w:val="both"/>
        <w:outlineLvl w:val="0"/>
        <w:rPr>
          <w:highlight w:val="none"/>
          <w:shd w:fill="auto" w:val="clear"/>
        </w:rPr>
      </w:pPr>
      <w:r>
        <w:rPr>
          <w:sz w:val="24"/>
          <w:szCs w:val="24"/>
          <w:shd w:fill="auto" w:val="clear"/>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highlight w:val="none"/>
          <w:shd w:fill="auto" w:val="clear"/>
        </w:rPr>
      </w:pPr>
      <w:r>
        <w:rPr>
          <w:b/>
          <w:bCs/>
          <w:sz w:val="24"/>
          <w:szCs w:val="24"/>
          <w:shd w:fill="auto"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shd w:fill="auto" w:val="clear"/>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shd w:fill="auto" w:val="clear"/>
          </w:rPr>
          <w:t>№ 18162/09</w:t>
        </w:r>
      </w:hyperlink>
      <w:r>
        <w:rPr>
          <w:sz w:val="24"/>
          <w:szCs w:val="24"/>
          <w:shd w:fill="auto" w:val="clear"/>
        </w:rPr>
        <w:t xml:space="preserve"> и от 25.05.2010 </w:t>
      </w:r>
      <w:hyperlink r:id="rId6">
        <w:r>
          <w:rPr>
            <w:sz w:val="24"/>
            <w:szCs w:val="24"/>
            <w:shd w:fill="auto" w:val="clear"/>
          </w:rPr>
          <w:t>№ 15658/09</w:t>
        </w:r>
      </w:hyperlink>
      <w:r>
        <w:rPr>
          <w:sz w:val="24"/>
          <w:szCs w:val="24"/>
          <w:shd w:fill="auto"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shd w:fill="auto" w:val="clear"/>
          </w:rPr>
          <w:t>Критери</w:t>
        </w:r>
      </w:hyperlink>
      <w:r>
        <w:rPr>
          <w:sz w:val="24"/>
          <w:szCs w:val="24"/>
          <w:shd w:fill="auto" w:val="clear"/>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Форс</w:t>
      </w:r>
      <w:r>
        <w:rPr>
          <w:b/>
          <w:bCs/>
          <w:sz w:val="24"/>
          <w:szCs w:val="24"/>
          <w:shd w:fill="auto" w:val="clear"/>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highlight w:val="none"/>
          <w:shd w:fill="auto" w:val="clear"/>
        </w:rPr>
      </w:pPr>
      <w:r>
        <w:rPr>
          <w:bCs/>
          <w:sz w:val="24"/>
          <w:szCs w:val="24"/>
          <w:shd w:fill="auto" w:val="clear"/>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highlight w:val="none"/>
          <w:shd w:fill="auto" w:val="clear"/>
        </w:rPr>
      </w:pPr>
      <w:r>
        <w:rPr>
          <w:bCs/>
          <w:sz w:val="24"/>
          <w:szCs w:val="24"/>
          <w:shd w:fill="auto" w:val="clear"/>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финансовую отчетность;</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бизнес-планы;</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highlight w:val="none"/>
          <w:shd w:fill="auto" w:val="clear"/>
        </w:rPr>
      </w:pPr>
      <w:r>
        <w:rPr>
          <w:sz w:val="24"/>
          <w:szCs w:val="24"/>
          <w:shd w:fill="auto" w:val="clear"/>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highlight w:val="none"/>
          <w:shd w:fill="auto" w:val="clear"/>
        </w:rPr>
      </w:pPr>
      <w:r>
        <w:rPr>
          <w:sz w:val="24"/>
          <w:szCs w:val="24"/>
          <w:shd w:fill="auto" w:val="clear"/>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 </w:t>
      </w:r>
      <w:r>
        <w:rPr>
          <w:sz w:val="24"/>
          <w:szCs w:val="24"/>
          <w:shd w:fill="auto" w:val="clear"/>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 </w:t>
      </w:r>
      <w:r>
        <w:rPr>
          <w:sz w:val="24"/>
          <w:szCs w:val="24"/>
          <w:shd w:fill="auto" w:val="clear"/>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г.Москвы.</w:t>
      </w:r>
    </w:p>
    <w:p>
      <w:pPr>
        <w:pStyle w:val="ListParagraph"/>
        <w:shd w:val="clear" w:color="auto" w:fill="FFFFFF"/>
        <w:spacing w:before="0" w:after="120"/>
        <w:ind w:left="567" w:hanging="0"/>
        <w:contextualSpacing w:val="false"/>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highlight w:val="none"/>
          <w:shd w:fill="auto" w:val="clear"/>
        </w:rPr>
      </w:pPr>
      <w:r>
        <w:rPr>
          <w:b/>
          <w:bCs/>
          <w:sz w:val="24"/>
          <w:szCs w:val="24"/>
          <w:shd w:fill="auto" w:val="clear"/>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shd w:fill="auto" w:val="clear"/>
        </w:rPr>
        <w:t>.</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highlight w:val="none"/>
          <w:shd w:fill="auto" w:val="clear"/>
        </w:rPr>
      </w:pPr>
      <w:r>
        <w:rPr>
          <w:sz w:val="24"/>
          <w:szCs w:val="24"/>
          <w:shd w:fill="auto" w:val="clear"/>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Стороны установили, что существенным нарушением Договора Поставщиком является</w:t>
      </w:r>
      <w:r>
        <w:rPr>
          <w:shd w:fill="auto" w:val="clear"/>
        </w:rPr>
        <w:t>:</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highlight w:val="none"/>
          <w:shd w:fill="auto" w:val="clear"/>
        </w:rPr>
      </w:pPr>
      <w:r>
        <w:rPr>
          <w:sz w:val="24"/>
          <w:szCs w:val="24"/>
          <w:shd w:fill="auto" w:val="clear"/>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highlight w:val="none"/>
          <w:shd w:fill="auto" w:val="clear"/>
        </w:rPr>
      </w:pPr>
      <w:r>
        <w:rPr>
          <w:b/>
          <w:bCs/>
          <w:sz w:val="24"/>
          <w:szCs w:val="24"/>
          <w:shd w:fill="auto" w:val="clear"/>
        </w:rPr>
        <w:t>Заверения</w:t>
      </w:r>
      <w:r>
        <w:rPr>
          <w:b/>
          <w:sz w:val="24"/>
          <w:szCs w:val="24"/>
          <w:shd w:fill="auto" w:val="clear"/>
        </w:rPr>
        <w:t xml:space="preserve"> Сторон</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bCs/>
          <w:sz w:val="24"/>
          <w:szCs w:val="24"/>
          <w:shd w:fill="auto" w:val="clear"/>
        </w:rPr>
        <w:t>Каждая</w:t>
      </w:r>
      <w:r>
        <w:rPr>
          <w:sz w:val="24"/>
          <w:szCs w:val="24"/>
          <w:shd w:fill="auto" w:val="clear"/>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sz w:val="24"/>
          <w:szCs w:val="24"/>
          <w:shd w:fill="auto" w:val="clear"/>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sz w:val="24"/>
          <w:szCs w:val="24"/>
          <w:shd w:fill="auto" w:val="clear"/>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sz w:val="24"/>
          <w:szCs w:val="24"/>
          <w:shd w:fill="auto" w:val="clear"/>
        </w:rPr>
        <w:t xml:space="preserve">В случае, если при заключении Договора Поставщик предоставил </w:t>
      </w:r>
      <w:r>
        <w:rPr>
          <w:bCs/>
          <w:sz w:val="24"/>
          <w:szCs w:val="24"/>
          <w:shd w:fill="auto" w:val="clear"/>
        </w:rPr>
        <w:t>Покупателю</w:t>
      </w:r>
      <w:r>
        <w:rPr>
          <w:sz w:val="24"/>
          <w:szCs w:val="24"/>
          <w:shd w:fill="auto" w:val="clear"/>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shd w:fill="auto" w:val="clear"/>
        </w:rPr>
        <w:t xml:space="preserve">Поставщик </w:t>
      </w:r>
      <w:r>
        <w:rPr>
          <w:sz w:val="24"/>
          <w:szCs w:val="24"/>
          <w:shd w:fill="auto" w:val="clear"/>
        </w:rPr>
        <w:t xml:space="preserve">обязан по требованию </w:t>
      </w:r>
      <w:r>
        <w:rPr>
          <w:bCs/>
          <w:sz w:val="24"/>
          <w:szCs w:val="24"/>
          <w:shd w:fill="auto" w:val="clear"/>
        </w:rPr>
        <w:t>Покупателя</w:t>
      </w:r>
      <w:r>
        <w:rPr>
          <w:sz w:val="24"/>
          <w:szCs w:val="24"/>
          <w:shd w:fill="auto" w:val="clear"/>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highlight w:val="none"/>
          <w:shd w:fill="auto" w:val="clear"/>
        </w:rPr>
      </w:pPr>
      <w:r>
        <w:rPr>
          <w:sz w:val="24"/>
          <w:szCs w:val="24"/>
          <w:shd w:fill="auto" w:val="clea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Документ</w:t>
      </w:r>
      <w:r>
        <w:rPr>
          <w:bCs/>
          <w:sz w:val="24"/>
          <w:szCs w:val="24"/>
          <w:shd w:fill="auto" w:val="clear"/>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highlight w:val="none"/>
          <w:shd w:fill="auto" w:val="clear"/>
        </w:rPr>
      </w:pPr>
      <w:r>
        <w:rPr>
          <w:bCs/>
          <w:sz w:val="24"/>
          <w:szCs w:val="24"/>
          <w:shd w:fill="auto" w:val="clear"/>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highlight w:val="none"/>
          <w:shd w:fill="auto" w:val="clear"/>
        </w:rPr>
      </w:pPr>
      <w:r>
        <w:rPr>
          <w:bCs/>
          <w:sz w:val="24"/>
          <w:szCs w:val="24"/>
          <w:shd w:fill="auto" w:val="clear"/>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Договор</w:t>
      </w:r>
      <w:r>
        <w:rPr>
          <w:bCs/>
          <w:sz w:val="24"/>
          <w:szCs w:val="24"/>
          <w:shd w:fill="auto" w:val="clear"/>
        </w:rPr>
        <w:t xml:space="preserve"> составлен в двух оригинальных экземплярах, по одному для каждой из Сторон.</w:t>
      </w:r>
    </w:p>
    <w:p>
      <w:pPr>
        <w:pStyle w:val="Normal"/>
        <w:widowControl w:val="false"/>
        <w:shd w:val="clear" w:color="auto" w:fill="FFFFFF"/>
        <w:tabs>
          <w:tab w:val="left" w:pos="720" w:leader="none"/>
        </w:tabs>
        <w:spacing w:before="0" w:after="120"/>
        <w:ind w:left="567" w:hanging="0"/>
        <w:jc w:val="both"/>
        <w:rPr>
          <w:bCs/>
          <w:sz w:val="24"/>
          <w:szCs w:val="24"/>
          <w:highlight w:val="none"/>
          <w:shd w:fill="auto" w:val="clear"/>
        </w:rPr>
      </w:pPr>
      <w:r>
        <w:rPr>
          <w:bCs/>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Приложения к Договору</w:t>
      </w:r>
    </w:p>
    <w:p>
      <w:pPr>
        <w:pStyle w:val="Heading3"/>
        <w:keepNext w:val="false"/>
        <w:tabs>
          <w:tab w:val="clear" w:pos="0"/>
        </w:tabs>
        <w:overflowPunct w:val="false"/>
        <w:spacing w:before="0" w:after="120"/>
        <w:ind w:left="567" w:hanging="0"/>
        <w:jc w:val="both"/>
        <w:textAlignment w:val="baseline"/>
        <w:rPr>
          <w:highlight w:val="none"/>
          <w:shd w:fill="auto" w:val="clear"/>
        </w:rPr>
      </w:pPr>
      <w:r>
        <w:rPr>
          <w:b w:val="false"/>
          <w:sz w:val="24"/>
          <w:szCs w:val="24"/>
          <w:shd w:fill="auto" w:val="clear"/>
        </w:rPr>
        <w:t>- Приложение № 1 – Спецификация.</w:t>
      </w:r>
    </w:p>
    <w:p>
      <w:pPr>
        <w:pStyle w:val="Heading3"/>
        <w:keepNext w:val="false"/>
        <w:tabs>
          <w:tab w:val="clear" w:pos="0"/>
        </w:tabs>
        <w:overflowPunct w:val="false"/>
        <w:spacing w:before="0" w:after="120"/>
        <w:ind w:left="567" w:hanging="0"/>
        <w:jc w:val="both"/>
        <w:textAlignment w:val="baseline"/>
        <w:rPr>
          <w:highlight w:val="none"/>
          <w:shd w:fill="auto" w:val="clear"/>
        </w:rPr>
      </w:pPr>
      <w:r>
        <w:rPr>
          <w:b w:val="false"/>
          <w:sz w:val="24"/>
          <w:szCs w:val="24"/>
          <w:shd w:fill="auto" w:val="clear"/>
        </w:rPr>
        <w:t>- Приложение № 2 – Календарный график поставки.</w:t>
      </w:r>
    </w:p>
    <w:p>
      <w:pPr>
        <w:pStyle w:val="Normal"/>
        <w:spacing w:before="0" w:after="120"/>
        <w:ind w:left="567" w:hanging="567"/>
        <w:rPr>
          <w:highlight w:val="none"/>
          <w:shd w:fill="auto" w:val="clear"/>
        </w:rPr>
      </w:pPr>
      <w:bookmarkStart w:id="4" w:name="sub_1"/>
      <w:r>
        <w:rPr>
          <w:sz w:val="24"/>
          <w:szCs w:val="24"/>
          <w:shd w:fill="auto" w:val="clear"/>
        </w:rPr>
        <w:tab/>
      </w:r>
      <w:bookmarkEnd w:id="4"/>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highlight w:val="none"/>
                <w:shd w:fill="auto" w:val="clear"/>
              </w:rPr>
            </w:pPr>
            <w:r>
              <w:rPr>
                <w:b/>
                <w:sz w:val="24"/>
                <w:szCs w:val="24"/>
                <w:u w:val="single"/>
                <w:shd w:fill="auto" w:val="clear"/>
              </w:rPr>
              <w:t>Покупатель:</w:t>
            </w:r>
          </w:p>
        </w:tc>
        <w:tc>
          <w:tcPr>
            <w:tcW w:w="4786" w:type="dxa"/>
            <w:tcBorders/>
          </w:tcPr>
          <w:p>
            <w:pPr>
              <w:pStyle w:val="Normal"/>
              <w:widowControl w:val="false"/>
              <w:rPr>
                <w:highlight w:val="none"/>
                <w:shd w:fill="auto" w:val="clear"/>
              </w:rPr>
            </w:pPr>
            <w:r>
              <w:rPr>
                <w:b/>
                <w:sz w:val="24"/>
                <w:szCs w:val="24"/>
                <w:u w:val="single"/>
                <w:shd w:fill="auto" w:val="clear"/>
              </w:rPr>
              <w:t>Поставщик:</w:t>
            </w:r>
          </w:p>
        </w:tc>
      </w:tr>
      <w:tr>
        <w:trPr/>
        <w:tc>
          <w:tcPr>
            <w:tcW w:w="4927"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b/>
                <w:sz w:val="22"/>
                <w:szCs w:val="22"/>
                <w:shd w:fill="auto" w:val="clear"/>
              </w:rPr>
              <w:t>Акционерное общество</w:t>
            </w:r>
          </w:p>
          <w:p>
            <w:pPr>
              <w:pStyle w:val="Normal"/>
              <w:widowControl w:val="false"/>
              <w:rPr>
                <w:highlight w:val="none"/>
                <w:shd w:fill="auto" w:val="clear"/>
              </w:rPr>
            </w:pPr>
            <w:r>
              <w:rPr>
                <w:b/>
                <w:sz w:val="22"/>
                <w:szCs w:val="22"/>
                <w:shd w:fill="auto" w:val="clear"/>
              </w:rPr>
              <w:t>«Гидроремонт-ВКК» (АО «Гидроремонт-ВКК»)</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(место нахождения)</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(почтовый адрес)</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(ОГРН)</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(ИНН/КПП)</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расчетного счета)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(наименование банка, в котором</w:t>
            </w:r>
          </w:p>
          <w:p>
            <w:pPr>
              <w:pStyle w:val="Normal"/>
              <w:widowControl w:val="false"/>
              <w:rPr>
                <w:highlight w:val="none"/>
                <w:shd w:fill="auto" w:val="clear"/>
              </w:rPr>
            </w:pPr>
            <w:r>
              <w:rPr>
                <w:sz w:val="22"/>
                <w:szCs w:val="22"/>
                <w:shd w:fill="auto" w:val="clear"/>
              </w:rPr>
              <w:t>открыт расчетный счет)</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корреспондентского счета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(БИК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телефона/факса)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w:t>
            </w:r>
            <w:r>
              <w:rPr>
                <w:sz w:val="22"/>
                <w:szCs w:val="22"/>
                <w:shd w:fill="auto" w:val="clear"/>
                <w:lang w:val="en-US"/>
              </w:rPr>
              <w:t>email</w:t>
            </w:r>
            <w:r>
              <w:rPr>
                <w:sz w:val="22"/>
                <w:szCs w:val="22"/>
                <w:shd w:fill="auto" w:val="clear"/>
              </w:rPr>
              <w:t>)</w:t>
            </w:r>
          </w:p>
        </w:tc>
        <w:tc>
          <w:tcPr>
            <w:tcW w:w="4786"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(наименование юридического лица)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(место нахождения)</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(почтовый адрес)</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(ОГРН)</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(ИНН/КПП)</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расчетного счета)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(наименование банка, в котором</w:t>
            </w:r>
          </w:p>
          <w:p>
            <w:pPr>
              <w:pStyle w:val="Normal"/>
              <w:widowControl w:val="false"/>
              <w:rPr>
                <w:highlight w:val="none"/>
                <w:shd w:fill="auto" w:val="clear"/>
              </w:rPr>
            </w:pPr>
            <w:r>
              <w:rPr>
                <w:sz w:val="22"/>
                <w:szCs w:val="22"/>
                <w:shd w:fill="auto" w:val="clear"/>
              </w:rPr>
              <w:t>открыт расчетный счет)</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корреспондентского счета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(БИК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телефона/факса)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w:t>
            </w:r>
            <w:r>
              <w:rPr>
                <w:sz w:val="22"/>
                <w:szCs w:val="22"/>
                <w:shd w:fill="auto" w:val="clear"/>
                <w:lang w:val="en-US"/>
              </w:rPr>
              <w:t>email</w:t>
            </w:r>
            <w:r>
              <w:rPr>
                <w:sz w:val="22"/>
                <w:szCs w:val="22"/>
                <w:shd w:fill="auto" w:val="clear"/>
              </w:rPr>
              <w:t>)</w:t>
            </w:r>
          </w:p>
          <w:p>
            <w:pPr>
              <w:pStyle w:val="Normal"/>
              <w:widowControl w:val="false"/>
              <w:rPr>
                <w:sz w:val="22"/>
                <w:szCs w:val="22"/>
                <w:highlight w:val="none"/>
                <w:shd w:fill="auto" w:val="clear"/>
              </w:rPr>
            </w:pPr>
            <w:r>
              <w:rPr>
                <w:sz w:val="22"/>
                <w:szCs w:val="22"/>
                <w:shd w:fill="auto" w:val="clear"/>
              </w:rPr>
            </w:r>
          </w:p>
        </w:tc>
      </w:tr>
      <w:tr>
        <w:trPr/>
        <w:tc>
          <w:tcPr>
            <w:tcW w:w="4927"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 xml:space="preserve">_______________ / </w:t>
            </w:r>
            <w:r>
              <w:rPr>
                <w:sz w:val="22"/>
                <w:szCs w:val="22"/>
                <w:shd w:fill="auto" w:val="clear"/>
              </w:rPr>
              <w:t>_______________</w:t>
            </w:r>
            <w:r>
              <w:rPr>
                <w:sz w:val="22"/>
                <w:szCs w:val="22"/>
                <w:shd w:fill="auto" w:val="clear"/>
              </w:rPr>
              <w:t xml:space="preserve"> /</w:t>
            </w:r>
          </w:p>
          <w:p>
            <w:pPr>
              <w:pStyle w:val="Normal"/>
              <w:widowControl w:val="false"/>
              <w:rPr>
                <w:highlight w:val="none"/>
                <w:shd w:fill="auto" w:val="clear"/>
              </w:rPr>
            </w:pPr>
            <w:r>
              <w:rPr>
                <w:sz w:val="22"/>
                <w:szCs w:val="22"/>
                <w:shd w:fill="auto" w:val="clear"/>
              </w:rPr>
              <w:t>м.п.</w:t>
            </w:r>
          </w:p>
        </w:tc>
        <w:tc>
          <w:tcPr>
            <w:tcW w:w="4786"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 xml:space="preserve">_______________ / </w:t>
            </w:r>
            <w:r>
              <w:rPr>
                <w:sz w:val="22"/>
                <w:szCs w:val="22"/>
                <w:shd w:fill="auto" w:val="clear"/>
              </w:rPr>
              <w:t>_______________</w:t>
            </w:r>
            <w:r>
              <w:rPr>
                <w:sz w:val="22"/>
                <w:szCs w:val="22"/>
                <w:shd w:fill="auto" w:val="clear"/>
              </w:rPr>
              <w:t xml:space="preserve"> /</w:t>
            </w:r>
          </w:p>
          <w:p>
            <w:pPr>
              <w:pStyle w:val="Normal"/>
              <w:widowControl w:val="false"/>
              <w:rPr>
                <w:highlight w:val="none"/>
                <w:shd w:fill="auto" w:val="clear"/>
              </w:rPr>
            </w:pPr>
            <w:r>
              <w:rPr>
                <w:sz w:val="22"/>
                <w:szCs w:val="22"/>
                <w:shd w:fill="auto" w:val="clear"/>
              </w:rPr>
              <w:t>м.п.</w:t>
            </w:r>
          </w:p>
        </w:tc>
      </w:tr>
    </w:tbl>
    <w:p>
      <w:pPr>
        <w:sectPr>
          <w:headerReference w:type="default" r:id="rId8"/>
          <w:footerReference w:type="even" r:id="rId9"/>
          <w:footerReference w:type="default" r:id="rId10"/>
          <w:footerReference w:type="first" r:id="rId11"/>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1</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Normal"/>
        <w:numPr>
          <w:ilvl w:val="0"/>
          <w:numId w:val="0"/>
        </w:numPr>
        <w:spacing w:before="0" w:after="120"/>
        <w:ind w:left="0" w:firstLine="567"/>
        <w:jc w:val="center"/>
        <w:outlineLvl w:val="0"/>
        <w:rPr>
          <w:b/>
          <w:sz w:val="24"/>
          <w:szCs w:val="24"/>
          <w:highlight w:val="none"/>
          <w:shd w:fill="auto" w:val="clear"/>
        </w:rPr>
      </w:pPr>
      <w:r>
        <w:rPr>
          <w:b/>
          <w:sz w:val="24"/>
          <w:szCs w:val="24"/>
          <w:shd w:fill="auto" w:val="clear"/>
        </w:rPr>
      </w:r>
    </w:p>
    <w:p>
      <w:pPr>
        <w:pStyle w:val="Normal"/>
        <w:numPr>
          <w:ilvl w:val="0"/>
          <w:numId w:val="0"/>
        </w:numPr>
        <w:spacing w:before="0" w:after="120"/>
        <w:ind w:left="0" w:firstLine="567"/>
        <w:jc w:val="center"/>
        <w:outlineLvl w:val="0"/>
        <w:rPr>
          <w:highlight w:val="none"/>
          <w:shd w:fill="auto" w:val="clear"/>
        </w:rPr>
      </w:pPr>
      <w:r>
        <w:rPr>
          <w:b/>
          <w:sz w:val="24"/>
          <w:szCs w:val="24"/>
          <w:shd w:fill="auto" w:val="clear"/>
        </w:rPr>
        <w:t>Спецификация №__</w:t>
      </w:r>
    </w:p>
    <w:p>
      <w:pPr>
        <w:pStyle w:val="Normal"/>
        <w:numPr>
          <w:ilvl w:val="0"/>
          <w:numId w:val="0"/>
        </w:numPr>
        <w:spacing w:before="0" w:after="120"/>
        <w:ind w:left="0" w:firstLine="567"/>
        <w:jc w:val="center"/>
        <w:outlineLvl w:val="0"/>
        <w:rPr>
          <w:b/>
          <w:sz w:val="24"/>
          <w:szCs w:val="24"/>
          <w:highlight w:val="none"/>
          <w:shd w:fill="auto" w:val="clear"/>
        </w:rPr>
      </w:pPr>
      <w:r>
        <w:rPr>
          <w:b/>
          <w:sz w:val="24"/>
          <w:szCs w:val="24"/>
          <w:shd w:fill="auto" w:val="clear"/>
        </w:rPr>
      </w:r>
    </w:p>
    <w:p>
      <w:pPr>
        <w:pStyle w:val="Normal"/>
        <w:numPr>
          <w:ilvl w:val="0"/>
          <w:numId w:val="0"/>
        </w:numPr>
        <w:spacing w:before="0" w:after="120"/>
        <w:ind w:left="0" w:firstLine="567"/>
        <w:jc w:val="center"/>
        <w:outlineLvl w:val="0"/>
        <w:rPr>
          <w:b/>
          <w:i/>
          <w:i/>
          <w:color w:val="FF0000"/>
          <w:sz w:val="22"/>
          <w:szCs w:val="22"/>
          <w:highlight w:val="none"/>
          <w:shd w:fill="auto" w:val="clear"/>
        </w:rPr>
      </w:pPr>
      <w:r>
        <w:rPr>
          <w:b/>
          <w:i/>
          <w:color w:val="FF0000"/>
          <w:sz w:val="22"/>
          <w:szCs w:val="22"/>
          <w:shd w:fill="auto" w:val="clear"/>
        </w:rPr>
      </w:r>
    </w:p>
    <w:tbl>
      <w:tblPr>
        <w:tblW w:w="10349"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568"/>
        <w:gridCol w:w="844"/>
        <w:gridCol w:w="565"/>
        <w:gridCol w:w="1567"/>
        <w:gridCol w:w="1560"/>
        <w:gridCol w:w="567"/>
        <w:gridCol w:w="567"/>
        <w:gridCol w:w="709"/>
        <w:gridCol w:w="1842"/>
        <w:gridCol w:w="1559"/>
      </w:tblGrid>
      <w:tr>
        <w:trPr>
          <w:trHeight w:val="510" w:hRule="atLeast"/>
        </w:trPr>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Поз. №</w:t>
            </w:r>
          </w:p>
        </w:tc>
        <w:tc>
          <w:tcPr>
            <w:tcW w:w="14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Наименование</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highlight w:val="none"/>
                <w:shd w:fill="auto" w:val="clear"/>
              </w:rPr>
            </w:pPr>
            <w:r>
              <w:rPr>
                <w:sz w:val="24"/>
                <w:szCs w:val="24"/>
                <w:shd w:fill="auto" w:val="clear"/>
              </w:rPr>
              <w:t>Страна происхождения Продукции / цифровой код страны</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Характеристики продукции</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Тип</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Ед. изм.</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Количество</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Цена  за единицу (руб., с НДС __%/ без НДС)</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Сумма (руб., с НДС __%/ без НДС)</w:t>
            </w:r>
          </w:p>
        </w:tc>
      </w:tr>
      <w:tr>
        <w:trPr>
          <w:trHeight w:val="523" w:hRule="atLeast"/>
        </w:trPr>
        <w:tc>
          <w:tcPr>
            <w:tcW w:w="56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1.</w:t>
            </w:r>
          </w:p>
        </w:tc>
        <w:tc>
          <w:tcPr>
            <w:tcW w:w="140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156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highlight w:val="none"/>
                <w:shd w:fill="auto" w:val="clear"/>
              </w:rPr>
            </w:pPr>
            <w:r>
              <w:rPr>
                <w:sz w:val="22"/>
                <w:szCs w:val="24"/>
                <w:shd w:fill="auto" w:val="clear"/>
              </w:rPr>
              <w:t>___________</w:t>
            </w:r>
          </w:p>
        </w:tc>
        <w:tc>
          <w:tcPr>
            <w:tcW w:w="156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56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w:t>
            </w:r>
          </w:p>
        </w:tc>
        <w:tc>
          <w:tcPr>
            <w:tcW w:w="56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w:t>
            </w:r>
          </w:p>
        </w:tc>
      </w:tr>
      <w:tr>
        <w:trPr>
          <w:trHeight w:val="523" w:hRule="atLeast"/>
        </w:trPr>
        <w:tc>
          <w:tcPr>
            <w:tcW w:w="56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2.</w:t>
            </w:r>
          </w:p>
        </w:tc>
        <w:tc>
          <w:tcPr>
            <w:tcW w:w="140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156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highlight w:val="none"/>
                <w:shd w:fill="auto" w:val="clear"/>
              </w:rPr>
            </w:pPr>
            <w:r>
              <w:rPr>
                <w:sz w:val="22"/>
                <w:szCs w:val="24"/>
                <w:shd w:fill="auto" w:val="clear"/>
              </w:rPr>
              <w:t>___________</w:t>
            </w:r>
          </w:p>
        </w:tc>
        <w:tc>
          <w:tcPr>
            <w:tcW w:w="156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56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w:t>
            </w:r>
          </w:p>
        </w:tc>
        <w:tc>
          <w:tcPr>
            <w:tcW w:w="56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w:t>
            </w:r>
          </w:p>
        </w:tc>
      </w:tr>
      <w:tr>
        <w:trPr>
          <w:trHeight w:val="255" w:hRule="atLeast"/>
        </w:trPr>
        <w:tc>
          <w:tcPr>
            <w:tcW w:w="1412"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highlight w:val="none"/>
                <w:shd w:fill="auto" w:val="clear"/>
              </w:rPr>
            </w:pPr>
            <w:r>
              <w:rPr>
                <w:b/>
                <w:sz w:val="22"/>
                <w:szCs w:val="24"/>
                <w:shd w:fill="auto" w:val="clear"/>
              </w:rPr>
            </w:r>
          </w:p>
        </w:tc>
        <w:tc>
          <w:tcPr>
            <w:tcW w:w="737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b/>
                <w:sz w:val="22"/>
                <w:szCs w:val="24"/>
                <w:shd w:fill="auto" w:val="clear"/>
              </w:rPr>
              <w:t>ИТОГО*</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r>
        <w:trPr>
          <w:trHeight w:val="255" w:hRule="atLeast"/>
        </w:trPr>
        <w:tc>
          <w:tcPr>
            <w:tcW w:w="1412"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highlight w:val="none"/>
                <w:shd w:fill="auto" w:val="clear"/>
              </w:rPr>
            </w:pPr>
            <w:r>
              <w:rPr>
                <w:sz w:val="22"/>
                <w:szCs w:val="24"/>
                <w:shd w:fill="auto" w:val="clear"/>
              </w:rPr>
            </w:r>
          </w:p>
        </w:tc>
        <w:tc>
          <w:tcPr>
            <w:tcW w:w="737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sz w:val="22"/>
                <w:szCs w:val="24"/>
                <w:shd w:fill="auto" w:val="clear"/>
              </w:rPr>
              <w:t>Итого с учетом НДС (</w:t>
            </w:r>
            <w:r>
              <w:rPr>
                <w:i/>
                <w:sz w:val="22"/>
                <w:szCs w:val="24"/>
                <w:shd w:fill="auto" w:val="clear"/>
              </w:rPr>
              <w:t>указывается при необходимости</w:t>
            </w:r>
            <w:r>
              <w:rPr>
                <w:sz w:val="22"/>
                <w:szCs w:val="24"/>
                <w:shd w:fill="auto" w:val="clear"/>
              </w:rPr>
              <w:t>)</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bl>
    <w:p>
      <w:pPr>
        <w:pStyle w:val="BodyText"/>
        <w:spacing w:before="0" w:after="120"/>
        <w:ind w:firstLine="567"/>
        <w:rPr>
          <w:b/>
          <w:bCs/>
          <w:i/>
          <w:i/>
          <w:sz w:val="24"/>
          <w:szCs w:val="24"/>
          <w:highlight w:val="none"/>
          <w:shd w:fill="auto" w:val="clear"/>
        </w:rPr>
      </w:pPr>
      <w:r>
        <w:rPr>
          <w:b/>
          <w:bCs/>
          <w:i/>
          <w:sz w:val="24"/>
          <w:szCs w:val="24"/>
          <w:shd w:fill="auto" w:val="clear"/>
        </w:rPr>
      </w:r>
    </w:p>
    <w:p>
      <w:pPr>
        <w:pStyle w:val="BodyText"/>
        <w:spacing w:before="0" w:after="120"/>
        <w:ind w:firstLine="567"/>
        <w:rPr>
          <w:highlight w:val="none"/>
          <w:shd w:fill="auto" w:val="clear"/>
        </w:rPr>
      </w:pPr>
      <w:r>
        <w:rPr>
          <w:b/>
          <w:bCs/>
          <w:i/>
          <w:sz w:val="24"/>
          <w:szCs w:val="24"/>
          <w:shd w:fill="auto" w:val="clear"/>
        </w:rPr>
        <w:t>Условия поставки:</w:t>
      </w:r>
    </w:p>
    <w:p>
      <w:pPr>
        <w:pStyle w:val="Normal"/>
        <w:widowControl w:val="false"/>
        <w:numPr>
          <w:ilvl w:val="0"/>
          <w:numId w:val="18"/>
        </w:numPr>
        <w:tabs>
          <w:tab w:val="left" w:pos="720" w:leader="none"/>
        </w:tabs>
        <w:spacing w:before="0" w:after="120"/>
        <w:ind w:left="0" w:firstLine="284"/>
        <w:jc w:val="both"/>
        <w:rPr>
          <w:highlight w:val="none"/>
          <w:shd w:fill="auto" w:val="clear"/>
        </w:rPr>
      </w:pPr>
      <w:r>
        <w:rPr>
          <w:bCs/>
          <w:sz w:val="24"/>
          <w:szCs w:val="24"/>
          <w:shd w:fill="auto" w:val="clear"/>
        </w:rPr>
        <w:t>Общая сумма Спецификации составляет _______</w:t>
      </w:r>
      <w:r>
        <w:rPr>
          <w:b/>
          <w:sz w:val="24"/>
          <w:szCs w:val="24"/>
          <w:shd w:fill="auto" w:val="clear"/>
        </w:rPr>
        <w:t xml:space="preserve"> </w:t>
      </w:r>
      <w:r>
        <w:rPr>
          <w:sz w:val="24"/>
          <w:szCs w:val="24"/>
          <w:shd w:fill="auto" w:val="clear"/>
        </w:rPr>
        <w:t xml:space="preserve">(________), </w:t>
      </w:r>
      <w:r>
        <w:rPr>
          <w:i/>
          <w:sz w:val="24"/>
          <w:szCs w:val="24"/>
          <w:shd w:fill="auto" w:val="clear"/>
        </w:rPr>
        <w:t>в том числе НДС __%, в размере _____________ (________________)</w:t>
      </w:r>
      <w:r>
        <w:rPr>
          <w:b/>
          <w:sz w:val="24"/>
          <w:szCs w:val="24"/>
          <w:shd w:fill="auto" w:val="clear"/>
        </w:rPr>
        <w:t>.</w:t>
      </w:r>
    </w:p>
    <w:p>
      <w:pPr>
        <w:pStyle w:val="Normal"/>
        <w:widowControl w:val="false"/>
        <w:numPr>
          <w:ilvl w:val="0"/>
          <w:numId w:val="19"/>
        </w:numPr>
        <w:tabs>
          <w:tab w:val="left" w:pos="720" w:leader="none"/>
        </w:tabs>
        <w:spacing w:before="0" w:after="120"/>
        <w:ind w:left="0" w:firstLine="284"/>
        <w:jc w:val="both"/>
        <w:rPr>
          <w:highlight w:val="none"/>
          <w:shd w:fill="auto" w:val="clear"/>
        </w:rPr>
      </w:pPr>
      <w:r>
        <w:rPr>
          <w:sz w:val="24"/>
          <w:szCs w:val="24"/>
          <w:shd w:fill="auto" w:val="clear"/>
        </w:rPr>
        <w:t>Наименование производителя: ______________________;</w:t>
      </w:r>
    </w:p>
    <w:p>
      <w:pPr>
        <w:pStyle w:val="Normal"/>
        <w:widowControl w:val="false"/>
        <w:numPr>
          <w:ilvl w:val="0"/>
          <w:numId w:val="20"/>
        </w:numPr>
        <w:tabs>
          <w:tab w:val="left" w:pos="720" w:leader="none"/>
        </w:tabs>
        <w:spacing w:before="0" w:after="120"/>
        <w:ind w:left="0" w:firstLine="284"/>
        <w:jc w:val="both"/>
        <w:rPr>
          <w:highlight w:val="none"/>
          <w:shd w:fill="auto" w:val="clear"/>
        </w:rPr>
      </w:pPr>
      <w:r>
        <w:rPr>
          <w:sz w:val="24"/>
          <w:szCs w:val="24"/>
          <w:shd w:fill="auto" w:val="clear"/>
        </w:rPr>
        <w:t>Срок поставки Продукции: _______________________.</w:t>
      </w:r>
    </w:p>
    <w:p>
      <w:pPr>
        <w:pStyle w:val="Normal"/>
        <w:widowControl w:val="false"/>
        <w:numPr>
          <w:ilvl w:val="0"/>
          <w:numId w:val="21"/>
        </w:numPr>
        <w:tabs>
          <w:tab w:val="left" w:pos="720" w:leader="none"/>
        </w:tabs>
        <w:spacing w:before="0" w:after="120"/>
        <w:ind w:left="0" w:firstLine="284"/>
        <w:jc w:val="both"/>
        <w:rPr>
          <w:highlight w:val="none"/>
          <w:shd w:fill="auto" w:val="clear"/>
        </w:rPr>
      </w:pPr>
      <w:r>
        <w:rPr>
          <w:sz w:val="24"/>
          <w:szCs w:val="24"/>
          <w:shd w:fill="auto" w:val="clear"/>
        </w:rPr>
        <w:t>Иные условия, предусмотренные техническими требованиями:_________________.</w:t>
      </w:r>
    </w:p>
    <w:p>
      <w:pPr>
        <w:pStyle w:val="BodyText"/>
        <w:spacing w:before="0" w:after="120"/>
        <w:ind w:firstLine="567"/>
        <w:rPr>
          <w:highlight w:val="none"/>
          <w:shd w:fill="auto" w:val="clear"/>
        </w:rPr>
      </w:pPr>
      <w:r>
        <w:rPr>
          <w:b/>
          <w:sz w:val="24"/>
          <w:szCs w:val="24"/>
          <w:shd w:fill="auto" w:val="clear"/>
        </w:rPr>
        <w:t>*</w:t>
      </w:r>
      <w:r>
        <w:rPr>
          <w:sz w:val="24"/>
          <w:szCs w:val="24"/>
          <w:shd w:fill="auto" w:val="clear"/>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color w:val="1F497D"/>
          <w:sz w:val="24"/>
          <w:szCs w:val="24"/>
          <w:highlight w:val="none"/>
          <w:shd w:fill="auto" w:val="clear"/>
        </w:rPr>
      </w:pPr>
      <w:r>
        <w:rPr>
          <w:color w:val="1F497D"/>
          <w:sz w:val="24"/>
          <w:szCs w:val="24"/>
          <w:shd w:fill="auto" w:val="clear"/>
        </w:rPr>
      </w:r>
    </w:p>
    <w:p>
      <w:pPr>
        <w:pStyle w:val="Normal"/>
        <w:spacing w:before="0" w:after="120"/>
        <w:jc w:val="both"/>
        <w:rPr>
          <w:sz w:val="24"/>
          <w:szCs w:val="24"/>
          <w:highlight w:val="none"/>
          <w:shd w:fill="auto" w:val="clear"/>
        </w:rPr>
      </w:pPr>
      <w:r>
        <w:rPr>
          <w:sz w:val="24"/>
          <w:szCs w:val="24"/>
          <w:shd w:fill="auto" w:val="clear"/>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sectPr>
          <w:headerReference w:type="default" r:id="rId12"/>
          <w:headerReference w:type="first" r:id="rId13"/>
          <w:footerReference w:type="even" r:id="rId14"/>
          <w:footerReference w:type="default" r:id="rId15"/>
          <w:footerReference w:type="first" r:id="rId16"/>
          <w:type w:val="nextPage"/>
          <w:pgSz w:w="11906" w:h="16838"/>
          <w:pgMar w:left="1134" w:right="707" w:gutter="0" w:header="720" w:top="1134" w:footer="720" w:bottom="1134"/>
          <w:pgNumType w:fmt="decimal"/>
          <w:formProt w:val="false"/>
          <w:textDirection w:val="lrTb"/>
          <w:docGrid w:type="default" w:linePitch="100" w:charSpace="8192"/>
        </w:sectPr>
      </w:pPr>
      <w:r>
        <w:br w:type="page"/>
      </w: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2</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Normal"/>
        <w:numPr>
          <w:ilvl w:val="0"/>
          <w:numId w:val="0"/>
        </w:numPr>
        <w:spacing w:before="0" w:after="120"/>
        <w:ind w:left="0" w:firstLine="567"/>
        <w:jc w:val="center"/>
        <w:outlineLvl w:val="0"/>
        <w:rPr>
          <w:b/>
          <w:sz w:val="24"/>
          <w:szCs w:val="24"/>
          <w:highlight w:val="none"/>
          <w:u w:val="single"/>
          <w:shd w:fill="auto" w:val="clear"/>
        </w:rPr>
      </w:pPr>
      <w:r>
        <w:rPr>
          <w:b/>
          <w:sz w:val="24"/>
          <w:szCs w:val="24"/>
          <w:u w:val="single"/>
          <w:shd w:fill="auto" w:val="clear"/>
        </w:rPr>
      </w:r>
    </w:p>
    <w:p>
      <w:pPr>
        <w:pStyle w:val="Normal"/>
        <w:numPr>
          <w:ilvl w:val="0"/>
          <w:numId w:val="0"/>
        </w:numPr>
        <w:spacing w:before="0" w:after="120"/>
        <w:ind w:left="0" w:firstLine="567"/>
        <w:jc w:val="center"/>
        <w:outlineLvl w:val="0"/>
        <w:rPr>
          <w:highlight w:val="none"/>
          <w:shd w:fill="auto" w:val="clear"/>
        </w:rPr>
      </w:pPr>
      <w:r>
        <w:rPr>
          <w:b/>
          <w:sz w:val="24"/>
          <w:szCs w:val="24"/>
          <w:shd w:fill="auto" w:val="clear"/>
        </w:rPr>
        <w:t>Календарный график поставки</w:t>
      </w:r>
    </w:p>
    <w:tbl>
      <w:tblPr>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28"/>
        <w:gridCol w:w="1621"/>
        <w:gridCol w:w="2438"/>
        <w:gridCol w:w="673"/>
        <w:gridCol w:w="776"/>
        <w:gridCol w:w="1918"/>
        <w:gridCol w:w="1676"/>
      </w:tblGrid>
      <w:tr>
        <w:trPr>
          <w:trHeight w:val="507" w:hRule="atLeast"/>
        </w:trPr>
        <w:tc>
          <w:tcPr>
            <w:tcW w:w="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highlight w:val="none"/>
                <w:shd w:fill="auto" w:val="clear"/>
              </w:rPr>
            </w:pPr>
            <w:r>
              <w:rPr>
                <w:bCs/>
                <w:sz w:val="22"/>
                <w:szCs w:val="24"/>
                <w:shd w:fill="auto" w:val="clear"/>
              </w:rPr>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highlight w:val="none"/>
                <w:shd w:fill="auto" w:val="clear"/>
              </w:rPr>
            </w:pPr>
            <w:r>
              <w:rPr>
                <w:bCs/>
                <w:sz w:val="22"/>
                <w:szCs w:val="24"/>
                <w:shd w:fill="auto" w:val="clear"/>
              </w:rPr>
            </w:r>
          </w:p>
        </w:tc>
        <w:tc>
          <w:tcPr>
            <w:tcW w:w="2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highlight w:val="none"/>
                <w:shd w:fill="auto" w:val="clear"/>
              </w:rPr>
            </w:pPr>
            <w:r>
              <w:rPr>
                <w:bCs/>
                <w:sz w:val="22"/>
                <w:szCs w:val="24"/>
                <w:shd w:fill="auto" w:val="clear"/>
              </w:rPr>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highlight w:val="none"/>
                <w:shd w:fill="auto" w:val="clear"/>
              </w:rPr>
            </w:pPr>
            <w:r>
              <w:rPr>
                <w:bCs/>
                <w:sz w:val="22"/>
                <w:szCs w:val="24"/>
                <w:shd w:fill="auto" w:val="clear"/>
              </w:rPr>
            </w:r>
          </w:p>
        </w:tc>
        <w:tc>
          <w:tcPr>
            <w:tcW w:w="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highlight w:val="none"/>
                <w:shd w:fill="auto" w:val="clear"/>
              </w:rPr>
            </w:pPr>
            <w:r>
              <w:rPr>
                <w:bCs/>
                <w:sz w:val="22"/>
                <w:szCs w:val="24"/>
                <w:shd w:fill="auto" w:val="clear"/>
              </w:rPr>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highlight w:val="none"/>
                <w:shd w:fill="auto" w:val="clear"/>
              </w:rPr>
            </w:pPr>
            <w:r>
              <w:rPr>
                <w:bCs/>
                <w:sz w:val="22"/>
                <w:szCs w:val="24"/>
                <w:shd w:fill="auto" w:val="clear"/>
              </w:rPr>
            </w:r>
          </w:p>
        </w:tc>
        <w:tc>
          <w:tcPr>
            <w:tcW w:w="1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highlight w:val="none"/>
                <w:shd w:fill="auto" w:val="clear"/>
              </w:rPr>
            </w:pPr>
            <w:r>
              <w:rPr>
                <w:bCs/>
                <w:sz w:val="22"/>
                <w:szCs w:val="24"/>
                <w:shd w:fill="auto" w:val="clear"/>
              </w:rPr>
            </w:r>
          </w:p>
        </w:tc>
      </w:tr>
      <w:tr>
        <w:trPr>
          <w:trHeight w:val="520" w:hRule="atLeast"/>
        </w:trPr>
        <w:tc>
          <w:tcPr>
            <w:tcW w:w="92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1.</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243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w:t>
            </w:r>
          </w:p>
        </w:tc>
      </w:tr>
      <w:tr>
        <w:trPr>
          <w:trHeight w:val="520" w:hRule="atLeast"/>
        </w:trPr>
        <w:tc>
          <w:tcPr>
            <w:tcW w:w="92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2.</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243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w:t>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b/>
                <w:sz w:val="22"/>
                <w:szCs w:val="24"/>
                <w:shd w:fill="auto" w:val="clear"/>
              </w:rPr>
              <w:t>ИТОГО</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sz w:val="22"/>
                <w:szCs w:val="24"/>
                <w:shd w:fill="auto" w:val="clear"/>
              </w:rPr>
              <w:t>Итого с учетом НДС (</w:t>
            </w:r>
            <w:r>
              <w:rPr>
                <w:i/>
                <w:sz w:val="22"/>
                <w:szCs w:val="24"/>
                <w:shd w:fill="auto" w:val="clear"/>
              </w:rPr>
              <w:t>указывается при необходимости</w:t>
            </w:r>
            <w:r>
              <w:rPr>
                <w:sz w:val="22"/>
                <w:szCs w:val="24"/>
                <w:shd w:fill="auto" w:val="clear"/>
              </w:rPr>
              <w:t>)</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bl>
    <w:p>
      <w:pPr>
        <w:pStyle w:val="Normal"/>
        <w:widowControl w:val="false"/>
        <w:tabs>
          <w:tab w:val="left" w:pos="720" w:leader="none"/>
        </w:tabs>
        <w:spacing w:before="0" w:after="120"/>
        <w:ind w:left="284" w:hanging="0"/>
        <w:jc w:val="both"/>
        <w:rPr>
          <w:sz w:val="24"/>
          <w:szCs w:val="24"/>
          <w:highlight w:val="none"/>
          <w:shd w:fill="auto" w:val="clear"/>
        </w:rPr>
      </w:pPr>
      <w:r>
        <w:rPr>
          <w:sz w:val="24"/>
          <w:szCs w:val="24"/>
          <w:shd w:fill="auto" w:val="clear"/>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mc:AlternateContent>
          <mc:Choice Requires="wps">
            <w:drawing>
              <wp:anchor behindDoc="0" distT="6985" distB="6350" distL="6350" distR="6985" simplePos="0" locked="0" layoutInCell="0" allowOverlap="1" relativeHeight="46" wp14:anchorId="2E285076">
                <wp:simplePos x="0" y="0"/>
                <wp:positionH relativeFrom="column">
                  <wp:posOffset>147955</wp:posOffset>
                </wp:positionH>
                <wp:positionV relativeFrom="paragraph">
                  <wp:posOffset>1155700</wp:posOffset>
                </wp:positionV>
                <wp:extent cx="5943600" cy="635"/>
                <wp:effectExtent l="6350" t="6985" r="6985" b="6350"/>
                <wp:wrapNone/>
                <wp:docPr id="13" name="Прямая соединительная линия 2"/>
                <a:graphic xmlns:a="http://schemas.openxmlformats.org/drawingml/2006/main">
                  <a:graphicData uri="http://schemas.microsoft.com/office/word/2010/wordprocessingShape">
                    <wps:wsp>
                      <wps:cNvSpPr/>
                      <wps:spPr>
                        <a:xfrm>
                          <a:off x="0" y="0"/>
                          <a:ext cx="5943600" cy="72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11.65pt,91pt" to="479.6pt,91pt" ID="Прямая соединительная линия 2" stroked="t" o:allowincell="f" style="position:absolute" wp14:anchorId="2E285076">
                <v:stroke color="black" weight="12600" joinstyle="round" endcap="flat"/>
                <v:fill o:detectmouseclick="t" on="false"/>
                <w10:wrap type="none"/>
              </v:line>
            </w:pict>
          </mc:Fallback>
        </mc:AlternateConten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highlight w:val="none"/>
          <w:shd w:fill="auto" w:val="clear"/>
        </w:rPr>
      </w:pPr>
      <w:r>
        <w:rPr>
          <w:shd w:fill="auto" w:val="clear"/>
        </w:rPr>
      </w:r>
    </w:p>
    <w:sectPr>
      <w:headerReference w:type="default" r:id="rId17"/>
      <w:headerReference w:type="first" r:id="rId18"/>
      <w:footerReference w:type="default" r:id="rId19"/>
      <w:footerReference w:type="first" r:id="rId20"/>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4">
              <wp:simplePos x="0" y="0"/>
              <wp:positionH relativeFrom="margin">
                <wp:align>right</wp:align>
              </wp:positionH>
              <wp:positionV relativeFrom="paragraph">
                <wp:posOffset>635</wp:posOffset>
              </wp:positionV>
              <wp:extent cx="127635" cy="145415"/>
              <wp:effectExtent l="0" t="0" r="0" b="0"/>
              <wp:wrapSquare wrapText="bothSides"/>
              <wp:docPr id="14" name="Врезка5"/>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Врезка5"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3"/>
    <w:lvlOverride w:ilvl="0">
      <w:startOverride w:val="1"/>
    </w:lvlOverride>
  </w:num>
  <w:num w:numId="19">
    <w:abstractNumId w:val="13"/>
  </w:num>
  <w:num w:numId="20">
    <w:abstractNumId w:val="13"/>
  </w:num>
  <w:num w:numId="21">
    <w:abstractNumId w:val="13"/>
  </w:num>
</w:numbering>
</file>

<file path=word/settings.xml><?xml version="1.0" encoding="utf-8"?>
<w:settings xmlns:w="http://schemas.openxmlformats.org/wordprocessingml/2006/main">
  <w:zoom w:percent="98"/>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a13dd6"/>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1">
    <w:name w:val="1. Статья Знак"/>
    <w:qFormat/>
    <w:rPr>
      <w:sz w:val="24"/>
      <w:szCs w:val="24"/>
      <w:lang w:val="x-none" w:eastAsia="x-none"/>
    </w:rPr>
  </w:style>
  <w:style w:type="character" w:styleId="FootnoteCharacters">
    <w:name w:val="Footnote Characters"/>
    <w:qFormat/>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Style21">
    <w:name w:val="Содержимое врезки"/>
    <w:basedOn w:val="Normal"/>
    <w:qFormat/>
    <w:pPr/>
    <w:rPr/>
  </w:style>
  <w:style w:type="paragraph" w:styleId="32">
    <w:name w:val="3. Подпункт"/>
    <w:basedOn w:val="Heading3"/>
    <w:qFormat/>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21">
    <w:name w:val="2. Пункт"/>
    <w:basedOn w:val="Heading3"/>
    <w:qFormat/>
    <w:pPr>
      <w:keepNext w:val="false"/>
      <w:widowControl w:val="false"/>
      <w:numPr>
        <w:ilvl w:val="1"/>
        <w:numId w:val="10"/>
      </w:numPr>
      <w:overflowPunct w:val="false"/>
      <w:jc w:val="both"/>
      <w:textAlignment w:val="baseline"/>
    </w:pPr>
    <w:rPr>
      <w:b w:val="false"/>
      <w:sz w:val="24"/>
      <w:szCs w:val="24"/>
      <w:lang w:val="x-none" w:eastAsia="x-none"/>
    </w:rPr>
  </w:style>
  <w:style w:type="paragraph" w:styleId="12">
    <w:name w:val="1. Статья"/>
    <w:basedOn w:val="Heading3"/>
    <w:qFormat/>
    <w:pPr>
      <w:keepNext w:val="false"/>
      <w:widowControl w:val="false"/>
      <w:numPr>
        <w:ilvl w:val="0"/>
        <w:numId w:val="10"/>
      </w:numPr>
      <w:tabs>
        <w:tab w:val="left" w:pos="0" w:leader="none"/>
        <w:tab w:val="left" w:pos="2340" w:leader="none"/>
      </w:tabs>
      <w:overflowPunct w:val="false"/>
      <w:ind w:left="0" w:right="1462" w:hanging="0"/>
      <w:textAlignment w:val="baseline"/>
    </w:pPr>
    <w:rPr>
      <w:b w:val="false"/>
      <w:sz w:val="24"/>
      <w:szCs w:val="24"/>
      <w:lang w:val="x-none" w:eastAsia="x-none"/>
    </w:rPr>
  </w:style>
  <w:style w:type="paragraph" w:styleId="Style22">
    <w:name w:val="Знак Знак Знак Знак"/>
    <w:basedOn w:val="Normal"/>
    <w:qFormat/>
    <w:pPr>
      <w:spacing w:lineRule="exact" w:line="240" w:before="0" w:after="160"/>
    </w:pPr>
    <w:rPr>
      <w:rFonts w:ascii="Verdana" w:hAnsi="Verdana" w:cs="Verdana"/>
      <w:lang w:val="en-US" w:eastAsia="en-US"/>
    </w:rPr>
  </w:style>
  <w:style w:type="paragraph" w:styleId="Style23">
    <w:name w:val="Таблица текст"/>
    <w:basedOn w:val="Normal"/>
    <w:qFormat/>
    <w:pPr>
      <w:spacing w:before="40" w:after="40"/>
      <w:ind w:left="57" w:right="57" w:hanging="0"/>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864A1-90E7-4B25-870E-3E4F2582A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Application>AlterOffice/3.4.0.9$Linux_X86_64 LibreOffice_project/b8daf9e823b1a5463a2f48435ddc2e8696e7d4fc</Application>
  <AppVersion>15.0000</AppVersion>
  <Pages>20</Pages>
  <Words>6883</Words>
  <Characters>49161</Characters>
  <CharactersWithSpaces>55550</CharactersWithSpaces>
  <Paragraphs>382</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2017-11-07T14:48:00Z</dcterms:created>
  <dc:creator>Света &amp; Алла (Twix)</dc:creator>
  <dc:description/>
  <dc:language>ru-RU</dc:language>
  <cp:lastModifiedBy/>
  <cp:lastPrinted>2017-11-07T14:47:00Z</cp:lastPrinted>
  <dcterms:modified xsi:type="dcterms:W3CDTF">2026-06-05T14:07:46Z</dcterms:modified>
  <cp:revision>41</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