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Директора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uppressAutoHyphens w:val="true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rFonts w:eastAsia="Geneva"/>
          <w:sz w:val="24"/>
          <w:szCs w:val="24"/>
          <w:lang w:eastAsia="en-US"/>
        </w:rPr>
        <w:t>ОКПД2 33.12.15.000. 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Кабардино-Балкарского  транспортного участка Южного филиала АО "ТК РусГидро"</w:t>
      </w:r>
      <w:r>
        <w:rPr>
          <w:rFonts w:eastAsia="Calibri"/>
          <w:sz w:val="24"/>
          <w:szCs w:val="24"/>
        </w:rPr>
        <w:t>»</w:t>
      </w:r>
    </w:p>
    <w:p>
      <w:pPr>
        <w:pStyle w:val="Normal"/>
        <w:suppressAutoHyphens w:val="true"/>
        <w:jc w:val="center"/>
        <w:rPr>
          <w:rFonts w:eastAsia="Calibri"/>
          <w:sz w:val="24"/>
          <w:szCs w:val="24"/>
        </w:rPr>
      </w:pPr>
      <w:r>
        <w:rPr/>
      </w:r>
    </w:p>
    <w:p>
      <w:pPr>
        <w:pStyle w:val="Normal"/>
        <w:suppressAutoHyphens w:val="true"/>
        <w:jc w:val="center"/>
        <w:rPr>
          <w:rFonts w:eastAsia="Calibri"/>
          <w:sz w:val="24"/>
          <w:szCs w:val="24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br w:type="page"/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rStyle w:val="Style19"/>
              <w:color w:val="000000"/>
            </w:rPr>
            <w:instrText xml:space="preserve"> TOC \o "1-4" \h</w:instrText>
          </w:r>
          <w:r>
            <w:rPr>
              <w:rStyle w:val="Style19"/>
              <w:color w:val="000000"/>
            </w:rPr>
            <w:fldChar w:fldCharType="separate"/>
          </w:r>
          <w:hyperlink w:anchor="_Toc230873111">
            <w:r>
              <w:rPr>
                <w:rStyle w:val="Style19"/>
                <w:color w:val="000000"/>
              </w:rPr>
              <w:t>1.</w:t>
            </w:r>
            <w:r>
              <w:rPr>
                <w:rStyle w:val="Style19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Style w:val="Style19"/>
                <w:color w:val="000000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30873112">
            <w:r>
              <w:rPr>
                <w:rStyle w:val="Style19"/>
                <w:iCs/>
                <w:color w:val="000000"/>
              </w:rPr>
              <w:t>1.1.</w:t>
            </w:r>
            <w:r>
              <w:rPr>
                <w:rStyle w:val="Style19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9"/>
                <w:color w:val="000000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30873113">
            <w:r>
              <w:rPr>
                <w:rStyle w:val="Style19"/>
                <w:iCs/>
                <w:color w:val="000000"/>
              </w:rPr>
              <w:t>1.2.</w:t>
            </w:r>
            <w:r>
              <w:rPr>
                <w:rStyle w:val="Style19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9"/>
                <w:color w:val="000000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30873114">
            <w:r>
              <w:rPr>
                <w:rStyle w:val="Style19"/>
                <w:iCs/>
                <w:color w:val="000000"/>
              </w:rPr>
              <w:t>1.3.</w:t>
            </w:r>
            <w:r>
              <w:rPr>
                <w:rStyle w:val="Style19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9"/>
                <w:color w:val="000000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30873115">
            <w:r>
              <w:rPr>
                <w:rStyle w:val="Style19"/>
                <w:iCs/>
                <w:color w:val="000000"/>
              </w:rPr>
              <w:t>1.4.</w:t>
            </w:r>
            <w:r>
              <w:rPr>
                <w:rStyle w:val="Style19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9"/>
                <w:color w:val="000000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911" w:leader="dot"/>
            </w:tabs>
            <w:rPr/>
          </w:pPr>
          <w:hyperlink w:anchor="_Toc230873116">
            <w:r>
              <w:rPr>
                <w:rStyle w:val="Style19"/>
                <w:color w:val="000000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30873117">
            <w:r>
              <w:rPr>
                <w:rStyle w:val="Style19"/>
                <w:iCs/>
                <w:color w:val="000000"/>
              </w:rPr>
              <w:t>1.5.</w:t>
            </w:r>
            <w:r>
              <w:rPr>
                <w:rStyle w:val="Style19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9"/>
                <w:color w:val="000000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560" w:leader="none"/>
              <w:tab w:val="right" w:pos="9911" w:leader="dot"/>
            </w:tabs>
            <w:rPr/>
          </w:pPr>
          <w:hyperlink w:anchor="_Toc230873118">
            <w:r>
              <w:rPr>
                <w:rStyle w:val="Style19"/>
                <w:color w:val="000000"/>
              </w:rPr>
              <w:t>2.</w:t>
            </w:r>
            <w:r>
              <w:rPr>
                <w:rStyle w:val="Style19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Style w:val="Style19"/>
                <w:iCs/>
                <w:color w:val="000000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30873119">
            <w:r>
              <w:rPr>
                <w:rStyle w:val="Style19"/>
                <w:iCs/>
                <w:color w:val="000000"/>
              </w:rPr>
              <w:t>2.1.</w:t>
            </w:r>
            <w:r>
              <w:rPr>
                <w:rStyle w:val="Style19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9"/>
                <w:color w:val="000000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230873120">
            <w:r>
              <w:rPr>
                <w:rStyle w:val="Style19"/>
                <w:color w:val="000000"/>
              </w:rPr>
              <w:t>2.1.1.</w:t>
            </w:r>
            <w:r>
              <w:rPr>
                <w:rStyle w:val="Style19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9"/>
                <w:color w:val="000000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911" w:leader="dot"/>
            </w:tabs>
            <w:rPr/>
          </w:pPr>
          <w:hyperlink w:anchor="_Toc230873121">
            <w:r>
              <w:rPr>
                <w:rStyle w:val="Style19"/>
                <w:color w:val="000000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230873122">
            <w:r>
              <w:rPr>
                <w:rStyle w:val="Style19"/>
                <w:color w:val="000000"/>
              </w:rPr>
              <w:t>2.1.2.</w:t>
            </w:r>
            <w:r>
              <w:rPr>
                <w:rStyle w:val="Style19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9"/>
                <w:color w:val="000000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911" w:leader="dot"/>
            </w:tabs>
            <w:rPr/>
          </w:pPr>
          <w:hyperlink w:anchor="_Toc230873123">
            <w:r>
              <w:rPr>
                <w:rStyle w:val="Style19"/>
                <w:color w:val="000000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30873124">
            <w:r>
              <w:rPr>
                <w:rStyle w:val="Style19"/>
                <w:rFonts w:eastAsia="Calibri"/>
                <w:b/>
                <w:bCs/>
                <w:color w:val="000000"/>
                <w:lang w:eastAsia="x-none"/>
              </w:rPr>
              <w:t>2.2.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911" w:leader="dot"/>
            </w:tabs>
            <w:rPr/>
          </w:pPr>
          <w:hyperlink w:anchor="_Toc230873125">
            <w:r>
              <w:rPr>
                <w:rStyle w:val="Style19"/>
                <w:color w:val="000000"/>
                <w:kern w:val="2"/>
                <w:lang w:val="x-none" w:eastAsia="x-none"/>
              </w:rPr>
              <w:t>Таблица </w:t>
            </w:r>
            <w:r>
              <w:rPr>
                <w:rStyle w:val="Style19"/>
                <w:color w:val="000000"/>
                <w:kern w:val="2"/>
                <w:lang w:eastAsia="x-none"/>
              </w:rPr>
              <w:t>4</w:t>
            </w:r>
            <w:r>
              <w:rPr>
                <w:rStyle w:val="Style19"/>
                <w:color w:val="000000"/>
                <w:kern w:val="2"/>
                <w:lang w:val="x-none" w:eastAsia="x-none"/>
              </w:rPr>
              <w:t xml:space="preserve">. Требования к </w:t>
            </w:r>
            <w:r>
              <w:rPr>
                <w:rStyle w:val="Style19"/>
                <w:color w:val="000000"/>
                <w:kern w:val="2"/>
                <w:lang w:eastAsia="x-none"/>
              </w:rPr>
              <w:t>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911" w:leader="dot"/>
            </w:tabs>
            <w:rPr/>
          </w:pPr>
          <w:hyperlink w:anchor="_Toc230873126">
            <w:r>
              <w:rPr>
                <w:rStyle w:val="Style19"/>
                <w:color w:val="000000"/>
              </w:rPr>
              <w:t xml:space="preserve">Наименование услуг/этапа услуг (позиция № 1 Таблицы 2): </w:t>
            </w:r>
            <w:r>
              <w:rPr>
                <w:rStyle w:val="Style19"/>
                <w:iCs/>
                <w:color w:val="000000"/>
              </w:rPr>
              <w:t>Оказание услуг по техническому обслуживанию и ремонту автомобилей импортного производства Дагестанского транспортного участка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911" w:leader="dot"/>
            </w:tabs>
            <w:rPr/>
          </w:pPr>
          <w:hyperlink w:anchor="_Toc230873127">
            <w:r>
              <w:rPr>
                <w:rStyle w:val="Style19"/>
                <w:rFonts w:eastAsia="Calibri"/>
                <w:color w:val="000000"/>
                <w:lang w:eastAsia="x-none"/>
              </w:rPr>
              <w:t>3.Требования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30873128">
            <w:r>
              <w:rPr>
                <w:rStyle w:val="Style19"/>
                <w:rFonts w:eastAsia="Calibri"/>
                <w:bCs/>
                <w:color w:val="000000"/>
                <w:lang w:eastAsia="x-none"/>
              </w:rPr>
              <w:t>3.1.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911" w:leader="dot"/>
            </w:tabs>
            <w:rPr/>
          </w:pPr>
          <w:hyperlink w:anchor="_Toc230873129">
            <w:r>
              <w:rPr>
                <w:rStyle w:val="Style19"/>
                <w:color w:val="000000"/>
                <w:kern w:val="2"/>
                <w:lang w:eastAsia="x-none"/>
              </w:rPr>
              <w:t>4.Требования к участникам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911" w:leader="dot"/>
            </w:tabs>
            <w:rPr/>
          </w:pPr>
          <w:hyperlink w:anchor="_Toc230873130">
            <w:r>
              <w:rPr>
                <w:rStyle w:val="Style19"/>
                <w:color w:val="000000"/>
                <w:kern w:val="2"/>
                <w:lang w:val="x-none" w:eastAsia="x-none"/>
              </w:rPr>
              <w:t>Таблица </w:t>
            </w:r>
            <w:r>
              <w:rPr>
                <w:rStyle w:val="Style19"/>
                <w:color w:val="000000"/>
                <w:kern w:val="2"/>
                <w:lang w:eastAsia="x-none"/>
              </w:rPr>
              <w:t>5</w:t>
            </w:r>
            <w:r>
              <w:rPr>
                <w:rStyle w:val="Style19"/>
                <w:color w:val="000000"/>
                <w:kern w:val="2"/>
                <w:lang w:val="x-none" w:eastAsia="x-none"/>
              </w:rPr>
              <w:t xml:space="preserve">. </w:t>
            </w:r>
            <w:r>
              <w:rPr>
                <w:rStyle w:val="Style19"/>
                <w:color w:val="000000"/>
                <w:kern w:val="2"/>
                <w:lang w:eastAsia="x-none"/>
              </w:rPr>
              <w:t>Квалификационные требования к участнику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_Toc230873130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00000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Heading2"/>
            <w:numPr>
              <w:ilvl w:val="0"/>
              <w:numId w:val="0"/>
            </w:numPr>
            <w:ind w:left="0" w:hanging="0"/>
            <w:rPr>
              <w:b w:val="false"/>
              <w:i/>
              <w:i/>
              <w:color w:val="000000"/>
            </w:rPr>
          </w:pPr>
          <w:r>
            <w:rPr>
              <w:b w:val="false"/>
              <w:i/>
              <w:color w:val="000000"/>
            </w:rPr>
          </w:r>
          <w:r>
            <w:rPr>
              <w:i/>
              <w:b w:val="false"/>
              <w:color w:val="000000"/>
            </w:rPr>
            <w:fldChar w:fldCharType="end"/>
          </w:r>
        </w:p>
      </w:sdtContent>
    </w:sdt>
    <w:p>
      <w:pPr>
        <w:pStyle w:val="TOC1"/>
        <w:spacing w:before="120" w:after="0"/>
        <w:rPr>
          <w:rFonts w:cs="Calibri Light (Заголовки)"/>
          <w:b/>
          <w:bCs/>
          <w:color w:val="FF0000"/>
          <w:sz w:val="24"/>
          <w:szCs w:val="24"/>
        </w:rPr>
      </w:pPr>
      <w:r>
        <w:rPr>
          <w:rFonts w:cs="Calibri Light (Заголовки)"/>
          <w:b/>
          <w:bCs/>
          <w:color w:val="FF0000"/>
          <w:sz w:val="24"/>
          <w:szCs w:val="24"/>
        </w:rPr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tabs>
          <w:tab w:val="clear" w:pos="0"/>
        </w:tabs>
        <w:ind w:left="357" w:hanging="0"/>
        <w:jc w:val="center"/>
        <w:rPr/>
      </w:pPr>
      <w:bookmarkStart w:id="0" w:name="_Toc152596751"/>
      <w:r>
        <w:rPr/>
        <w:t>1. Общие сведения</w:t>
      </w:r>
      <w:bookmarkEnd w:id="0"/>
    </w:p>
    <w:p>
      <w:pPr>
        <w:pStyle w:val="Heading4"/>
        <w:tabs>
          <w:tab w:val="clear" w:pos="0"/>
        </w:tabs>
        <w:ind w:left="1224" w:hanging="1224"/>
        <w:rPr/>
      </w:pPr>
      <w:bookmarkStart w:id="1" w:name="_Toc46743505"/>
      <w:bookmarkStart w:id="2" w:name="_Toc152596752"/>
      <w:r>
        <w:rPr/>
        <w:t>1.1. 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Сезонное обслуживание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Грузоподъемный механизм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tabs>
          <w:tab w:val="clear" w:pos="0"/>
        </w:tabs>
        <w:ind w:left="1224" w:hanging="1224"/>
        <w:rPr/>
      </w:pPr>
      <w:bookmarkStart w:id="3" w:name="_Toc152596753"/>
      <w:r>
        <w:rPr/>
        <w:t>1.2. Наименование закупаемой продукции</w:t>
      </w:r>
      <w:bookmarkEnd w:id="3"/>
    </w:p>
    <w:p>
      <w:pPr>
        <w:pStyle w:val="Normal"/>
        <w:rPr>
          <w:lang w:val="x-none" w:eastAsia="x-none"/>
        </w:rPr>
      </w:pPr>
      <w:r>
        <w:rPr>
          <w:rFonts w:eastAsia="Calibri"/>
          <w:color w:val="000000"/>
          <w:sz w:val="24"/>
          <w:szCs w:val="24"/>
        </w:rPr>
        <w:t>«</w:t>
      </w:r>
      <w:r>
        <w:rPr>
          <w:rFonts w:eastAsia="Geneva"/>
          <w:color w:val="000000"/>
          <w:sz w:val="24"/>
          <w:szCs w:val="24"/>
          <w:lang w:eastAsia="en-US"/>
        </w:rPr>
        <w:t>ОКПД2 33.12.15.000. 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Кабардино-Балкарского  транспортного участка Южного филиала АО "ТК РусГидро"</w:t>
      </w:r>
      <w:r>
        <w:rPr>
          <w:rFonts w:eastAsia="Calibri"/>
          <w:color w:val="000000"/>
          <w:sz w:val="24"/>
          <w:szCs w:val="24"/>
        </w:rPr>
        <w:t>»</w:t>
      </w:r>
      <w:bookmarkStart w:id="4" w:name="_Toc46743507"/>
    </w:p>
    <w:p>
      <w:pPr>
        <w:pStyle w:val="Heading4"/>
        <w:tabs>
          <w:tab w:val="clear" w:pos="0"/>
        </w:tabs>
        <w:ind w:left="431" w:hanging="431"/>
        <w:rPr/>
      </w:pPr>
      <w:bookmarkStart w:id="5" w:name="_Toc152596754"/>
      <w:r>
        <w:rPr/>
        <w:t xml:space="preserve">1.3. Цель </w:t>
      </w:r>
      <w:bookmarkEnd w:id="4"/>
      <w:r>
        <w:rPr/>
        <w:t>оказания услуг</w:t>
      </w:r>
      <w:bookmarkEnd w:id="5"/>
    </w:p>
    <w:p>
      <w:pPr>
        <w:pStyle w:val="Normal"/>
        <w:rPr>
          <w:lang w:val="x-none" w:eastAsia="x-none"/>
        </w:rPr>
      </w:pPr>
      <w:r>
        <w:rPr>
          <w:sz w:val="24"/>
          <w:szCs w:val="24"/>
        </w:rPr>
        <w:t>Содержание грузоподъемных механизмов и специального оборудования, установленных на транспортных средствах Кабардино-Балкарского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обслуживания, и текущего ремонта.</w:t>
      </w:r>
    </w:p>
    <w:p>
      <w:pPr>
        <w:pStyle w:val="Normal"/>
        <w:rPr>
          <w:b/>
          <w:bCs/>
        </w:rPr>
      </w:pPr>
      <w:r>
        <w:rPr>
          <w:b/>
          <w:bCs/>
          <w:sz w:val="24"/>
          <w:szCs w:val="24"/>
        </w:rPr>
        <w:t xml:space="preserve">1.4 </w:t>
      </w:r>
      <w:bookmarkStart w:id="6" w:name="_Toc46743508"/>
      <w:bookmarkStart w:id="7" w:name="_Toc230873115"/>
      <w:r>
        <w:rPr>
          <w:b/>
          <w:bCs/>
          <w:sz w:val="24"/>
          <w:szCs w:val="24"/>
        </w:rPr>
        <w:t>Существующее положение</w:t>
      </w:r>
      <w:bookmarkEnd w:id="6"/>
      <w:bookmarkEnd w:id="7"/>
      <w:r>
        <w:rPr>
          <w:b/>
          <w:bCs/>
          <w:sz w:val="24"/>
          <w:szCs w:val="24"/>
          <w:lang w:val="ru-RU"/>
        </w:rPr>
        <w:t xml:space="preserve"> </w:t>
      </w:r>
    </w:p>
    <w:p>
      <w:pPr>
        <w:pStyle w:val="Normal"/>
        <w:rPr>
          <w:lang w:val="x-none" w:eastAsia="x-none"/>
        </w:rPr>
      </w:pPr>
      <w:r>
        <w:rPr>
          <w:sz w:val="24"/>
          <w:szCs w:val="24"/>
        </w:rPr>
        <w:t>Услуги оказываются в отношении транспортных средств в соответствии с Перечнем объектов заказчика (Таблица 1).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8" w:name="_Toc152596755"/>
      <w:r>
        <w:rPr>
          <w:sz w:val="24"/>
          <w:szCs w:val="24"/>
        </w:rPr>
        <w:t>Таблица 1. Перечень объектов заказчика</w:t>
      </w:r>
      <w:bookmarkEnd w:id="8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694"/>
        <w:gridCol w:w="2549"/>
        <w:gridCol w:w="2541"/>
        <w:gridCol w:w="1572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2072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rPr/>
            </w:pPr>
            <w:r>
              <w:rPr/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7"/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Кабардино-Балкарского  транспортного участка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Кабардино-Балкарский транспортный участок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Южный филиал АО «ТК РусГидро» РФ, Кабардино-Балкарская Республика , г. Нальчик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Кран-манипулятор Palfinger  Инмант IT-150 на шасси КАМАЗ 65117  659000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1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Кран автомобильный КС-55713-1 на шасси КАМАЗ 65115-62         </w:t>
            </w:r>
          </w:p>
        </w:tc>
        <w:tc>
          <w:tcPr>
            <w:tcW w:w="1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Heading4"/>
        <w:tabs>
          <w:tab w:val="clear" w:pos="0"/>
        </w:tabs>
        <w:ind w:left="0" w:hanging="0"/>
        <w:rPr/>
      </w:pPr>
      <w:bookmarkStart w:id="9" w:name="_Toc143084616"/>
      <w:bookmarkStart w:id="10" w:name="_Toc152596756"/>
      <w:r>
        <w:rPr/>
        <w:t xml:space="preserve">1.5. Информация в отношении исполнения договора, </w:t>
      </w:r>
      <w:bookmarkStart w:id="11" w:name="_Hlk46492347"/>
      <w:r>
        <w:rPr/>
        <w:t xml:space="preserve">которая должна быть учтена при подготовке заявки </w:t>
      </w:r>
      <w:bookmarkEnd w:id="11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9"/>
      <w:bookmarkEnd w:id="10"/>
    </w:p>
    <w:p>
      <w:pPr>
        <w:pStyle w:val="Normal"/>
        <w:tabs>
          <w:tab w:val="clear" w:pos="708"/>
          <w:tab w:val="left" w:pos="567" w:leader="none"/>
        </w:tabs>
        <w:spacing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1.5.1 Периодичность прохождения Технического обслуживания (далее ТО) грузоподъемных механизмов и специального оборудования проводится с учетом наработки мото-часов и установленных заводом-изготовителем межсервисных интервалов.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1.5.2. Объем выполняемых работ по техническому обслуживанию грузоподъемных механизмов характеризуется обязательным перечнем и объемом контрольно-диагностических и других работ, позволяющих оценить техническое состояние грузоподъемного механизма и установить необходимость выполнение крепежных, регулировочных и заправочно-смазочных работ и их объемы. Перечень может быть дополнен другими работами, необходимость выполнения которых возникла в процессе технического обслуживания грузоподъемного механизма.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1.5.3.  Текущий ремонт (далее ТР) заключается в устранении возникших в процессе эксплуатации ГПМ неисправностей путем замены или ремонта отдельных деталей агрегата.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>
      <w:pPr>
        <w:pStyle w:val="Normal"/>
        <w:spacing w:before="0" w:after="0"/>
        <w:ind w:left="90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ремонт гидравлического оборудования ГПМ (при необходимости);</w:t>
      </w:r>
    </w:p>
    <w:p>
      <w:pPr>
        <w:pStyle w:val="Normal"/>
        <w:spacing w:before="0" w:after="0"/>
        <w:ind w:left="90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ремонт металлоконструкции ГПМ (при необходимости);</w:t>
      </w:r>
    </w:p>
    <w:p>
      <w:pPr>
        <w:pStyle w:val="Normal"/>
        <w:spacing w:before="0" w:after="0"/>
        <w:ind w:left="90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ремонт, замена узлов и агрегатов ГПМ (при необходимости);</w:t>
      </w:r>
    </w:p>
    <w:p>
      <w:pPr>
        <w:pStyle w:val="Normal"/>
        <w:spacing w:before="0" w:after="0"/>
        <w:ind w:left="90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электромонтажные работы (при необходимости).</w:t>
      </w:r>
    </w:p>
    <w:p>
      <w:pPr>
        <w:pStyle w:val="Normal"/>
        <w:suppressAutoHyphens w:val="true"/>
        <w:jc w:val="both"/>
        <w:rPr/>
      </w:pPr>
      <w:r>
        <w:rPr>
          <w:sz w:val="24"/>
          <w:szCs w:val="24"/>
        </w:rPr>
        <w:t>1.5.5.  При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1.5.6.  Стоимость запасных частей и расходных материалов при выполнении ТО и ТР не должна превышать среднюю стоимости аналогичных запасных частей у других поставщиков в регионе оказания услуг и должна быть заранее согласована с Заказчиком при составлении заказ-наряда.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1.5.7.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Heading1"/>
        <w:tabs>
          <w:tab w:val="clear" w:pos="0"/>
        </w:tabs>
        <w:ind w:left="357" w:hanging="357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2.1. Требования к объемам и срокам оказания услуг</w:t>
      </w:r>
    </w:p>
    <w:p>
      <w:pPr>
        <w:pStyle w:val="Normal"/>
        <w:tabs>
          <w:tab w:val="clear" w:pos="708"/>
        </w:tabs>
        <w:ind w:left="357" w:hanging="357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  <w:t xml:space="preserve">            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  <w:t>2.1.1. Требования к перечню и объему услуг</w:t>
      </w:r>
    </w:p>
    <w:p>
      <w:pPr>
        <w:pStyle w:val="Normal"/>
        <w:tabs>
          <w:tab w:val="clear" w:pos="708"/>
        </w:tabs>
        <w:ind w:left="357" w:hanging="357"/>
        <w:rPr/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  <w:t>Таблица 2. Перечень и объем оказываемых услуг</w:t>
      </w:r>
    </w:p>
    <w:p>
      <w:pPr>
        <w:pStyle w:val="Normal"/>
        <w:tabs>
          <w:tab w:val="clear" w:pos="708"/>
        </w:tabs>
        <w:ind w:left="357" w:hanging="357"/>
        <w:rPr>
          <w:rFonts w:ascii="Times New Roman" w:hAnsi="Times New Roman" w:eastAsia="Calibri" w:cs="Times New Roman"/>
          <w:b/>
          <w:color w:val="auto"/>
          <w:kern w:val="0"/>
          <w:sz w:val="22"/>
          <w:szCs w:val="22"/>
          <w:lang w:val="ru-RU" w:eastAsia="x-none" w:bidi="ar-SA"/>
        </w:rPr>
      </w:pPr>
      <w:r>
        <w:rPr/>
      </w:r>
    </w:p>
    <w:tbl>
      <w:tblPr>
        <w:tblW w:w="9917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92"/>
        <w:gridCol w:w="6077"/>
        <w:gridCol w:w="1398"/>
        <w:gridCol w:w="1549"/>
      </w:tblGrid>
      <w:tr>
        <w:trPr>
          <w:trHeight w:val="813" w:hRule="atLeast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en-GB"/>
              </w:rPr>
              <w:t>п/п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>
        <w:trPr>
          <w:trHeight w:val="349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Кран-манипулятор Palfinger  Инмант IT-150 на шасси КАМАЗ 65117  659000  ТО-1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349" w:hRule="atLeast"/>
        </w:trPr>
        <w:tc>
          <w:tcPr>
            <w:tcW w:w="892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Кран-манипулятор Palfinger  Инмант IT-150 на шасси КАМАЗ 65117  659000  ТО-2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Кран-манипулятор Palfinger  Инмант IT-150 на шасси КАМАЗ 65117  659000  Сезонное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Текущий ремонт Кран-манипулятор Palfinger  Инмант IT-150 на шасси КАМАЗ 65117  659000  (при необходимости)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Кран автомобильный КС-55713-1 на шасси КАМАЗ 65115-62           ТО-1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Кран автомобильный КС-55713-1 на шасси КАМАЗ 65115-62           ТО-2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Кран автомобильный КС-55713-1 на шасси КАМАЗ 65115-62       Сезонное обслуживание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892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</w:rPr>
              <w:t>Текущий ремонт КС-55713-1 на шасси КАМАЗ 65115-62 (при необходимости)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</w:tbl>
    <w:p>
      <w:pPr>
        <w:pStyle w:val="Normal"/>
        <w:rPr>
          <w:lang w:val="en-US" w:eastAsia="x-none"/>
        </w:rPr>
      </w:pPr>
      <w:r>
        <w:rPr>
          <w:lang w:val="en-US"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/>
      </w:pPr>
      <w:r>
        <w:rPr>
          <w:b/>
          <w:sz w:val="24"/>
          <w:szCs w:val="24"/>
        </w:rPr>
        <w:t xml:space="preserve">Таблица 3.1.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3.1.1. </w:t>
      </w:r>
      <w:r>
        <w:rPr>
          <w:rFonts w:eastAsia="Calibri"/>
          <w:b/>
          <w:sz w:val="24"/>
          <w:szCs w:val="24"/>
          <w:lang w:val="ru-RU" w:eastAsia="en-US"/>
        </w:rPr>
        <w:t xml:space="preserve">Перечень выполняемых и контрольно-диагностических работ при прохождении  ТО-1 Крана автомобильного </w:t>
      </w:r>
      <w:r>
        <w:rPr>
          <w:rFonts w:eastAsia="Calibri"/>
          <w:b/>
          <w:bCs/>
          <w:sz w:val="24"/>
          <w:szCs w:val="24"/>
          <w:lang w:val="ru-RU" w:eastAsia="en-US"/>
        </w:rPr>
        <w:t xml:space="preserve"> КС-55713-1</w:t>
      </w:r>
      <w:r>
        <w:rPr>
          <w:rFonts w:eastAsia="Calibri"/>
          <w:b/>
          <w:sz w:val="24"/>
          <w:szCs w:val="24"/>
          <w:lang w:val="ru-RU" w:eastAsia="en-US"/>
        </w:rPr>
        <w:t xml:space="preserve"> на шасси КАМАЗ 65115-62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874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7"/>
        <w:gridCol w:w="9366"/>
      </w:tblGrid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Осмотреть кран ,проверить уровень рабочей жидкости в гидробаке и отсутствие подтекания рабочей жидкости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уровень масла в редукторах лебедки и механизма поворота .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3.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действие и состояние контрольно-измерительных приборов ,приборов освещения и звукового сигнала.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4.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грузового каната на барабане ,в клиновой обойме  и укладку каната на барабане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5.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работу тормозов лебедки и механизма поворота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6.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элементов рабочего оборудования и крюковых подвесок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7.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установки и настройки датчиков и ограничителя нагрузки в целом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8.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Ежегодный профилактический контроль отопительной установки и уход перед отопительным сезоном .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9.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давление рабочей жидкости в сливной магестрали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10.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штоков гидроопор .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11.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затяжку болтов крепления опоры поворотной (опорно-поворотного устройства )к раме шасси и к поворотной платформе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12.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осей стрелы ,гидроцилиндра подъема стрелы ,а также крепление гидроопор ,осей блоков ,механизмов подъема и поворота ,противовеса и кабины крановщика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13.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тщательный внешний осмотр метало-конструкций поворотной и не поворотной частей крана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14.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крюковых подвесок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15.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грузового каната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16.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показаний указателей угла наклона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17.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выключателей блокировки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18.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настройку ограничителя нагрузки в соответствии с разделом 4.3.3 Руководства по эксплуатации на ограничитель нагрузки крана ОНК-160С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19.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смазочные работы в соответствии с периодичностью ,приведенной в таблице 15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20.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регулировку привода управления двигателем из кабины крановщика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21.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фильтро-лементов и уплотнительных прокладок в фильтре рабочей жидкости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22.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плановое ТО ограничителя нагрузки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3.1.2. </w:t>
      </w:r>
      <w:r>
        <w:rPr>
          <w:rFonts w:eastAsia="Calibri"/>
          <w:b/>
          <w:sz w:val="24"/>
          <w:szCs w:val="24"/>
          <w:lang w:val="ru-RU" w:eastAsia="en-US"/>
        </w:rPr>
        <w:t>Перечень выполняемых и контрольно-диагностических работ при прохождении</w:t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val="ru-RU" w:eastAsia="en-US"/>
        </w:rPr>
        <w:t>ТО-2 Крана автомобильного  КС-55713-1 на шасси КАМАЗ 65115-62</w:t>
      </w:r>
    </w:p>
    <w:p>
      <w:pPr>
        <w:pStyle w:val="Normal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</w:p>
    <w:tbl>
      <w:tblPr>
        <w:tblW w:w="9865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9299"/>
      </w:tblGrid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Осмотреть кран ,проверить уровень рабочей жидкости в гидробаке и отсутствие подтекания рабочей жидкости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уровень масла в редукторах лебедки и механизма поворота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3.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действие и состояние контрольно-измерительных приборов ,приборов освещения и звукового сигнала.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грузового каната на барабане ,в клиновой обойме  и укладку каната на барабане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работу тормозов лебедки и механизма поворота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элементов рабочего оборудования и крюковых подвесок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установки и настройки датчиков и ограничителя нагрузки в целом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давление рабочей жидкости в сливной магестрали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штоков гидроопор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10.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затяжку болтов крепления опоры поворотной (опорно-поворотного устройства )к раме шасси и к поворотной платформе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осей стрелы ,гидроцилиндра подъема стрелы ,а также крепление гидроопор ,осей блоков ,механизмов подъема и поворота ,противовеса и кабины крановщика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тщательный внешний осмотр метало-конструкций поворотной и не поворотной частей крана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13.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крюковых подвесок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грузового каната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наличие смазки на верхних поверхностях секций стрелы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показаний указателей угла наклона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выключателей блокировки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настройку ограничителя нагрузки в соответствии с разделом 4.3.3 Руководства по эксплуатации на ограничитель нагрузки крана ОНК-160С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.19.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смазочные работы в соответствии с периодичностью ,приведенной в таблице 15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20.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регулировку привода управления двигателем из кабины крановщика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техническое состояние рукавов высокого и низкого давления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величину настройки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давление щеток на контактные кольца ,состояние контактных  колец и надежность затяжки резьбовых соединений кольцевого токосъемника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надежность контактных соединений подключенных проводов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фильтро-лементов и уплотнительных прокладок в фильтре рабочей жидкости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плановое ТО ограничителя нагрузки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Замена рабочей жидкости гидропривода.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3.1.3. </w:t>
      </w:r>
      <w:r>
        <w:rPr>
          <w:rFonts w:eastAsia="Calibri"/>
          <w:b/>
          <w:sz w:val="24"/>
          <w:szCs w:val="24"/>
          <w:lang w:val="ru-RU" w:eastAsia="en-US"/>
        </w:rPr>
        <w:t>Перечень выполняемых и контрольно-диагностических работ при прохождении СО</w:t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val="ru-RU" w:eastAsia="en-US"/>
        </w:rPr>
        <w:t>Крана автомобильного  КС-55713-1 на шасси КАМАЗ 65115-62</w:t>
      </w:r>
    </w:p>
    <w:tbl>
      <w:tblPr>
        <w:tblW w:w="9865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9299"/>
      </w:tblGrid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Осмотреть кран ,проверить уровень рабочей жидкости в гидробаке и отсутствие подтекания рабочей жидкости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уровень масла в редукторах лебедки и механизма поворота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3.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действие и состояние контрольно-измерительных приборов ,приборов освещения и звукового сигнала.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грузового каната на барабане ,в клиновой обойме  и укладку каната на барабане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работу тормозов лебедки и механизма поворота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элементов рабочего оборудования и крюковых подвесок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установки и настройки датчиков и ограничителя нагрузки в целом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давление рабочей жидкости в сливной магестрали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штоков гидроопор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10.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затяжку болтов крепления опоры поворотной (опорно-поворотного устройства )к раме шасси и к поворотной платформе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осей стрелы ,гидроцилиндра подъема стрелы ,а также крепление гидроопор ,осей блоков ,механизмов подъема и поворота ,противовеса и кабины крановщика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тщательный внешний осмотр метало-конструкций поворотной и не поворотной частей крана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13.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крюковых подвесок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грузового каната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наличие смазки на верхних поверхностях секций стрелы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показаний указателей угла наклона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выключателей блокировки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настройку ограничителя нагрузки в соответствии с разделом 4.3.3 Руководства по эксплуатации на ограничитель нагрузки крана ОНК-160С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.19.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смазочные работы в соответствии с периодичностью ,приведенной в таблице 15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20.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регулировку привода управления двигателем из кабины крановщика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техническое состояние рукавов высокого и низкого давления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величину настройки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давление щеток на контактные кольца ,состояние контактных  колец и надежность затяжки резьбовых соединений кольцевого токосъемника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надежность контактных соединений подключенных проводов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по журналу учета ТО соответствие залитых в механизмы и гидропривод марок масел и рабочей жидкости предыдущему сезону эксплуатации крана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отсутствие излишков смазки на грузовом канате ,блоках и барабане при подготовке к зимнему периоду эксплуатации ,а при подготовке к летнему –наличие смазки на канате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возвращаемость  рукояток управления исполнительными механизмами крана из рабочих положений в нейтральное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фильтро-лементов и уплотнительных прокладок в фильтре рабочей жидкости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плановое ТО ограничителя нагрузки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3.1.4. </w:t>
      </w:r>
      <w:r>
        <w:rPr>
          <w:rFonts w:eastAsia="Calibri"/>
          <w:b/>
          <w:sz w:val="24"/>
          <w:szCs w:val="24"/>
          <w:lang w:val="ru-RU" w:eastAsia="en-US"/>
        </w:rPr>
        <w:t>Перечень выполняемых и контрольно-диагностических работ при прохождении  ТО-1 Крана-м</w:t>
      </w:r>
      <w:bookmarkStart w:id="12" w:name="_GoBack1"/>
      <w:bookmarkEnd w:id="12"/>
      <w:r>
        <w:rPr>
          <w:rFonts w:eastAsia="Calibri"/>
          <w:b/>
          <w:sz w:val="24"/>
          <w:szCs w:val="24"/>
          <w:lang w:val="ru-RU" w:eastAsia="en-US"/>
        </w:rPr>
        <w:t>анипулятора Palfinger  Инмант IT-150</w:t>
      </w:r>
    </w:p>
    <w:p>
      <w:pPr>
        <w:pStyle w:val="Normal"/>
        <w:rPr>
          <w:rFonts w:eastAsia="Calibri"/>
          <w:b/>
          <w:lang w:val="ru-RU" w:eastAsia="en-US"/>
        </w:rPr>
      </w:pPr>
      <w:r>
        <w:rPr>
          <w:rFonts w:eastAsia="Calibri"/>
          <w:b/>
          <w:lang w:val="ru-RU" w:eastAsia="en-US"/>
        </w:rPr>
      </w:r>
    </w:p>
    <w:tbl>
      <w:tblPr>
        <w:tblW w:w="9865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9299"/>
      </w:tblGrid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Осмотреть кран ,проверить уровень рабочей жидкости в гидробаке и отсутствие подтекания рабочей жидкости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уровень масла в редукторах лебедки и механизма поворота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3.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действие и состояние контрольно-измерительных приборов ,приборов освещения и звукового сигнала.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грузового каната на барабане ,в клиновой обойме  и укладку каната на барабане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работу тормозов лебедки и механизма поворота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элементов рабочего оборудования и крюковых подвесок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установки и настройки датчиков и ограничителя нагрузки в целом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Ежегодный профилактический контроль отопительной установки и уход перед отопительным сезоном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давление рабочей жидкости в сливной магестрали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10.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штоков гидроопор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затяжку болтов крепления опоры поворотной (опорно-поворотного устройства )к раме шасси и к поворотной платформе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осей стрелы ,гидроцилиндра подъема стрелы ,а также крепление гидроопор ,осей блоков ,механизмов подъема и поворота ,противовеса и кабины крановщика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13.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тщательный внешний осмотр метало-конструкций поворотной и не поворотной частей крана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крюковых подвесок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грузового каната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показаний указателей угла наклона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выключателей блокировки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настройку ограничителя нагрузки в соответствии с разделом 4.3.3 Руководства по эксплуатации на ограничитель нагрузки крана ОНК-160С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смазочные работы в соответствии с периодичностью ,приведенной в таблице 15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20.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регулировку привода управления двигателем из кабины крановщика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фильтро-лементов и уплотнительных прокладок в фильтре рабочей жидкости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плановое ТО ограничителя нагрузки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3.1.5.  </w:t>
      </w:r>
      <w:r>
        <w:rPr>
          <w:rFonts w:eastAsia="Calibri"/>
          <w:b/>
          <w:sz w:val="24"/>
          <w:szCs w:val="24"/>
          <w:lang w:val="ru-RU" w:eastAsia="en-US"/>
        </w:rPr>
        <w:t>Перечень выполняемых и контрольно-диагностических работ при прохождении ТО-2 Крана-манипулятора Palfinger  Инмант IT-150</w:t>
      </w:r>
    </w:p>
    <w:p>
      <w:pPr>
        <w:pStyle w:val="Normal"/>
        <w:rPr/>
      </w:pPr>
      <w:r>
        <w:rPr/>
      </w:r>
    </w:p>
    <w:tbl>
      <w:tblPr>
        <w:tblW w:w="9865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9299"/>
      </w:tblGrid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Осмотреть кран ,проверить уровень рабочей жидкости в гидробаке и отсутствие подтекания рабочей жидкости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уровень масла в редукторах лебедки и механизма поворота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3.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действие и состояние контрольно-измерительных приборов ,приборов освещения и звукового сигнала.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грузового каната на барабане ,в клиновой обойме  и укладку каната на барабане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работу тормозов лебедки и механизма поворота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элементов рабочего оборудования и крюковых подвесок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установки и настройки датчиков и ограничителя нагрузки в целом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давление рабочей жидкости в сливной магестрали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штоков гидроопор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10.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затяжку болтов крепления опоры поворотной (опорно-поворотного устройства )к раме шасси и к поворотной платформе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осей стрелы ,гидроцилиндра подъема стрелы ,а также крепление гидроопор ,осей блоков ,механизмов подъема и поворота ,противовеса и кабины крановщика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тщательный внешний осмотр метало-конструкций поворотной и не поворотной частей крана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13.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крюковых подвесок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грузового каната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наличие смазки на верхних поверхностях секций стрелы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показаний указателей угла наклона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выключателей блокировки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настройку ограничителя нагрузки в соответствии с разделом 4.3.3 Руководства по эксплуатации на ограничитель нагрузки крана ОНК-160С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.19.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смазочные работы в соответствии с периодичностью ,приведенной в таблице 15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20.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регулировку привода управления двигателем из кабины крановщика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техническое состояние рукавов высокого и низкого давления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величину настройки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давление щеток на контактные кольца ,состояние контактных  колец и надежность затяжки резьбовых соединений кольцевого токосъемника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надежность контактных соединений подключенных проводов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фильтро-лементов и уплотнительных прокладок в фильтре рабочей жидкости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плановое ТО ограничителя нагрузки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Замена рабочей жидкости гидропривода.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3.1.6. </w:t>
      </w:r>
      <w:r>
        <w:rPr>
          <w:rFonts w:eastAsia="Calibri"/>
          <w:b/>
          <w:sz w:val="24"/>
          <w:szCs w:val="24"/>
          <w:lang w:val="ru-RU" w:eastAsia="en-US"/>
        </w:rPr>
        <w:t>Перечень выполняемых и контрольно-диагностических работ при прохождении СО</w:t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val="ru-RU" w:eastAsia="en-US"/>
        </w:rPr>
        <w:t>Крана-манипулятора Palfinger  Инмант IT-150</w:t>
      </w:r>
    </w:p>
    <w:p>
      <w:pPr>
        <w:pStyle w:val="Normal"/>
        <w:rPr/>
      </w:pPr>
      <w:r>
        <w:rPr/>
      </w:r>
    </w:p>
    <w:tbl>
      <w:tblPr>
        <w:tblW w:w="9865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9299"/>
      </w:tblGrid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Осмотреть кран ,проверить уровень рабочей жидкости в гидробаке и отсутствие подтекания рабочей жидкости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уровень масла в редукторах лебедки и механизма поворота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3.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действие и состояние контрольно-измерительных приборов ,приборов освещения и звукового сигнала.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грузового каната на барабане ,в клиновой обойме  и укладку каната на барабане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работу тормозов лебедки и механизма поворота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элементов рабочего оборудования и крюковых подвесок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установки и настройки датчиков и ограничителя нагрузки в целом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давление рабочей жидкости в сливной магестрали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штоков гидроопор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10.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затяжку болтов крепления опоры поворотной (опорно-поворотного устройства )к раме шасси и к поворотной платформе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осей стрелы ,гидроцилиндра подъема стрелы ,а также крепление гидроопор ,осей блоков ,механизмов подъема и поворота ,противовеса и кабины крановщика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тщательный внешний осмотр метало-конструкций поворотной и не поворотной частей крана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13.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крюковых подвесок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грузового каната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наличие смазки на верхних поверхностях секций стрелы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правильность показаний указателей угла наклона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крепление выключателей блокировки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18.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настройку ограничителя нагрузки в соответствии с разделом 4.3.3 Руководства по эксплуатации на ограничитель нагрузки крана ОНК-160С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.19.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Выполнить смазочные работы в соответствии с периодичностью ,приведенной в таблице 15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20.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регулировку привода управления двигателем из кабины крановщика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21.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техническое состояние рукавов высокого и низкого давления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22.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величину настройки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давление щеток на контактные кольца ,состояние контактных  колец и надежность затяжки резьбовых соединений кольцевого токосъемника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24.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надежность контактных соединений подключенных проводов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25.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по журналу учета ТО соответствие залитых в механизмы и гидропривод марок масел и рабочей жидкости предыдущему сезону эксплуатации крана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26.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отсутствие излишков смазки на грузовом канате ,блоках и барабане при подготовке к зимнему периоду эксплуатации ,а при подготовке к летнему –наличие смазки на канате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27.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возвращаемость  рукояток управления исполнительными механизмами крана из рабочих положений в нейтральное .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28.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состояние фильтро-лементов и уплотнительных прокладок в фильтре рабочей жидкости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29.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Проверить плановое ТО ограничителя нагрузки</w:t>
            </w:r>
          </w:p>
        </w:tc>
      </w:tr>
    </w:tbl>
    <w:p>
      <w:pPr>
        <w:pStyle w:val="Heading3"/>
        <w:numPr>
          <w:ilvl w:val="0"/>
          <w:numId w:val="0"/>
        </w:numPr>
        <w:ind w:left="720" w:hanging="0"/>
        <w:rPr>
          <w:lang w:val="ru-RU"/>
        </w:rPr>
      </w:pPr>
      <w:r>
        <w:rPr>
          <w:lang w:val="ru-RU"/>
        </w:rPr>
        <w:t>2.1.3. Требования к срокам оказания услуг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0"/>
        </w:numPr>
        <w:spacing w:before="0" w:after="60"/>
        <w:ind w:left="0" w:hanging="0"/>
        <w:rPr>
          <w:sz w:val="24"/>
          <w:szCs w:val="24"/>
          <w:lang w:val="ru-RU"/>
        </w:rPr>
      </w:pPr>
      <w:bookmarkStart w:id="13" w:name="_Toc230873123"/>
      <w:bookmarkStart w:id="14" w:name="_Toc51339697"/>
      <w:bookmarkStart w:id="15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4"/>
      <w:bookmarkEnd w:id="15"/>
      <w:bookmarkEnd w:id="16"/>
      <w:r>
        <w:rPr>
          <w:sz w:val="24"/>
          <w:szCs w:val="24"/>
          <w:lang w:val="ru-RU"/>
        </w:rPr>
        <w:t>оказания услуг</w:t>
      </w:r>
      <w:bookmarkEnd w:id="13"/>
    </w:p>
    <w:p>
      <w:pPr>
        <w:pStyle w:val="Heading4"/>
        <w:tabs>
          <w:tab w:val="clear" w:pos="0"/>
        </w:tabs>
        <w:ind w:left="1224" w:hanging="1224"/>
        <w:rPr/>
      </w:pPr>
      <w:r>
        <w:rPr/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30"/>
        <w:gridCol w:w="2835"/>
        <w:gridCol w:w="2974"/>
        <w:gridCol w:w="2837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7"/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bookmarkStart w:id="17" w:name="_Toc14308461311"/>
            <w:r>
              <w:rPr>
                <w:rFonts w:eastAsia="Calibri"/>
                <w:iCs/>
                <w:color w:val="000000"/>
                <w:sz w:val="24"/>
                <w:szCs w:val="24"/>
              </w:rPr>
              <w:t>Услуги по техническому обслуживанию и ремонту грузоподъемных механизмов и специального оборудования, установленного на транспортных средствах Кабардино-Балкарского транспортного участка Южного филиала АО "ТК РусГидро</w:t>
            </w:r>
            <w:bookmarkEnd w:id="17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01.01.2027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pStyle w:val="Normal"/>
        <w:tabs>
          <w:tab w:val="clear" w:pos="708"/>
        </w:tabs>
        <w:ind w:left="1224" w:hanging="1224"/>
        <w:rPr/>
      </w:pPr>
      <w:r>
        <w:rPr/>
      </w:r>
    </w:p>
    <w:p>
      <w:pPr>
        <w:pStyle w:val="Heading4"/>
        <w:tabs>
          <w:tab w:val="clear" w:pos="0"/>
        </w:tabs>
        <w:ind w:left="1224" w:hanging="1224"/>
        <w:rPr/>
      </w:pPr>
      <w:bookmarkStart w:id="18" w:name="_Toc50125131"/>
      <w:bookmarkStart w:id="19" w:name="_Toc51339698"/>
      <w:bookmarkStart w:id="20" w:name="_Toc152596763"/>
      <w:bookmarkStart w:id="21" w:name="_Toc46743511"/>
      <w:bookmarkEnd w:id="18"/>
      <w:bookmarkEnd w:id="19"/>
      <w:r>
        <w:rPr/>
        <w:t xml:space="preserve">2.2.2. Требования к </w:t>
      </w:r>
      <w:bookmarkEnd w:id="21"/>
      <w:r>
        <w:rPr/>
        <w:t>качеству услуг</w:t>
      </w:r>
      <w:bookmarkEnd w:id="20"/>
    </w:p>
    <w:p>
      <w:pPr>
        <w:pStyle w:val="Normal"/>
        <w:keepNext w:val="true"/>
        <w:numPr>
          <w:ilvl w:val="0"/>
          <w:numId w:val="0"/>
        </w:numPr>
        <w:spacing w:before="240" w:after="60"/>
        <w:ind w:left="0" w:hanging="0"/>
        <w:outlineLvl w:val="0"/>
        <w:rPr/>
      </w:pPr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 xml:space="preserve">качеству услуг </w:t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120"/>
        <w:outlineLvl w:val="0"/>
        <w:rPr>
          <w:b/>
          <w:bCs/>
          <w:kern w:val="2"/>
          <w:sz w:val="24"/>
          <w:szCs w:val="24"/>
          <w:u w:val="single"/>
          <w:lang w:val="x-none" w:eastAsia="x-none"/>
        </w:rPr>
      </w:pPr>
      <w:bookmarkStart w:id="22" w:name="_Toc230873126"/>
      <w:r>
        <w:rPr>
          <w:b/>
          <w:bCs/>
          <w:kern w:val="2"/>
          <w:sz w:val="24"/>
          <w:szCs w:val="24"/>
          <w:lang w:eastAsia="x-none"/>
        </w:rPr>
        <w:t xml:space="preserve">Наименование услуг/этапа услуг (позиция № 1 Таблицы 2): </w:t>
      </w:r>
      <w:bookmarkEnd w:id="22"/>
      <w:r>
        <w:rPr>
          <w:b w:val="false"/>
          <w:bCs w:val="false"/>
          <w:iCs/>
          <w:kern w:val="2"/>
          <w:sz w:val="24"/>
          <w:szCs w:val="24"/>
          <w:u w:val="single"/>
          <w:lang w:eastAsia="x-none"/>
        </w:rPr>
        <w:t>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Кабардино-Балкарского транспортного участка Южного филиала АО "ТК РусГидро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2127"/>
        <w:gridCol w:w="4678"/>
        <w:gridCol w:w="3119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4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3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Общие требования к оказанию услуг </w:t>
            </w:r>
          </w:p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Участник должен предоставить в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требованиям, по форме Технического предложения, установленной в Документации о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закупке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Сроки выполнения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Срок выполнения работ включает в себя срок доставки запасных частей, используемых при выполнении работ.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ТО – не более одного дня;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ТР – не более 3 (трёх) календарных дней;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электротехнические работы – не более 2 (двух) календарных дней;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диагностические работы – не более 1 (одного) календарного дня.</w:t>
            </w:r>
          </w:p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Исполнитель должен принимать ТС Заказчика в сроки не позднее 1 дня с момента обращения Заказчика.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Место оказания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8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Кабардино-Балкарская республика, г.Нальчик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к применяемым при оказании услуг оборудованию и материалам»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Запасные части, расходные материалы, при выполнении ТО и ТР,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 расходные материалы, замененные в процессе проведения технического обслуживания и ремонта ГПМ Заказчика, переходят в собственность Исполнителя и утилизируются его силами.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59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6 (шести) месяцев со дня их принятия.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36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Услуги должны выполняться Исполнителем в соответствии с нормативно-техническими требованиями заводов изготовителей.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  <w:bookmarkStart w:id="24" w:name="_Toc513396981"/>
      <w:bookmarkStart w:id="25" w:name="_Toc501251311"/>
      <w:bookmarkStart w:id="26" w:name="_Toc513396981"/>
      <w:bookmarkStart w:id="27" w:name="_Toc501251311"/>
      <w:bookmarkEnd w:id="26"/>
      <w:bookmarkEnd w:id="27"/>
    </w:p>
    <w:p>
      <w:pPr>
        <w:pStyle w:val="Heading1"/>
        <w:tabs>
          <w:tab w:val="clear" w:pos="0"/>
        </w:tabs>
        <w:ind w:left="357" w:hanging="0"/>
        <w:rPr>
          <w:sz w:val="24"/>
          <w:szCs w:val="24"/>
        </w:rPr>
      </w:pPr>
      <w:bookmarkStart w:id="28" w:name="_Toc152596764"/>
      <w:r>
        <w:rPr>
          <w:sz w:val="24"/>
          <w:szCs w:val="24"/>
        </w:rPr>
        <w:t>3.Требования к документации по ценообразованию на этапе закупки</w:t>
      </w:r>
      <w:bookmarkEnd w:id="28"/>
    </w:p>
    <w:p>
      <w:pPr>
        <w:pStyle w:val="Normal"/>
        <w:keepNext w:val="true"/>
        <w:numPr>
          <w:ilvl w:val="0"/>
          <w:numId w:val="0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29" w:name="_Toc142635868"/>
      <w:bookmarkStart w:id="30" w:name="_Toc135932812"/>
      <w:bookmarkStart w:id="31" w:name="_Toc135933382"/>
      <w:bookmarkStart w:id="32" w:name="_Toc142635471"/>
      <w:bookmarkStart w:id="33" w:name="_Toc142635591"/>
      <w:bookmarkStart w:id="34" w:name="_Toc142635738"/>
      <w:bookmarkStart w:id="35" w:name="_Toc142933451"/>
      <w:bookmarkStart w:id="36" w:name="_Toc143179422"/>
      <w:bookmarkStart w:id="37" w:name="_Toc230873128"/>
      <w:r>
        <w:rPr>
          <w:rFonts w:eastAsia="Calibri"/>
          <w:bCs/>
          <w:sz w:val="24"/>
          <w:szCs w:val="24"/>
          <w:lang w:eastAsia="x-none"/>
        </w:rPr>
        <w:t xml:space="preserve">3.1. 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eastAsia="Calibri"/>
          <w:bCs/>
          <w:sz w:val="24"/>
          <w:szCs w:val="24"/>
          <w:lang w:eastAsia="x-none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  <w:bookmarkEnd w:id="37"/>
    </w:p>
    <w:p>
      <w:pPr>
        <w:pStyle w:val="Normal"/>
        <w:keepNext w:val="true"/>
        <w:numPr>
          <w:ilvl w:val="0"/>
          <w:numId w:val="0"/>
        </w:numPr>
        <w:spacing w:before="120" w:after="60"/>
        <w:ind w:left="2977" w:hanging="2836"/>
        <w:jc w:val="both"/>
        <w:outlineLvl w:val="0"/>
        <w:rPr>
          <w:b/>
          <w:bCs/>
          <w:kern w:val="2"/>
          <w:sz w:val="24"/>
          <w:szCs w:val="24"/>
          <w:lang w:eastAsia="x-none"/>
        </w:rPr>
      </w:pPr>
      <w:bookmarkStart w:id="38" w:name="_Toc230873129"/>
      <w:bookmarkStart w:id="39" w:name="_Toc143179423"/>
      <w:r>
        <w:rPr>
          <w:b/>
          <w:bCs/>
          <w:kern w:val="2"/>
          <w:sz w:val="24"/>
          <w:szCs w:val="24"/>
          <w:lang w:eastAsia="x-none"/>
        </w:rPr>
        <w:t>4.Требования к участникам закупки</w:t>
      </w:r>
      <w:bookmarkEnd w:id="38"/>
      <w:bookmarkEnd w:id="39"/>
    </w:p>
    <w:p>
      <w:pPr>
        <w:pStyle w:val="Normal"/>
        <w:keepNext w:val="true"/>
        <w:numPr>
          <w:ilvl w:val="0"/>
          <w:numId w:val="0"/>
        </w:numPr>
        <w:spacing w:before="240" w:after="6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40" w:name="_Toc230873130"/>
      <w:bookmarkStart w:id="41" w:name="_Toc143179424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5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</w:t>
      </w:r>
      <w:r>
        <w:rPr>
          <w:b/>
          <w:bCs/>
          <w:kern w:val="2"/>
          <w:sz w:val="24"/>
          <w:szCs w:val="24"/>
          <w:lang w:eastAsia="x-none"/>
        </w:rPr>
        <w:t>Квалификационные требования к участнику закупки</w:t>
      </w:r>
      <w:bookmarkEnd w:id="40"/>
      <w:bookmarkEnd w:id="41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10349" w:type="dxa"/>
        <w:jc w:val="left"/>
        <w:tblInd w:w="-295" w:type="dxa"/>
        <w:tblLayout w:type="fixed"/>
        <w:tblCellMar>
          <w:top w:w="15" w:type="dxa"/>
          <w:left w:w="85" w:type="dxa"/>
          <w:bottom w:w="0" w:type="dxa"/>
          <w:right w:w="85" w:type="dxa"/>
        </w:tblCellMar>
        <w:tblLook w:val="04a0" w:noHBand="0" w:noVBand="1" w:firstColumn="1" w:lastRow="0" w:lastColumn="0" w:firstRow="1"/>
      </w:tblPr>
      <w:tblGrid>
        <w:gridCol w:w="768"/>
        <w:gridCol w:w="3815"/>
        <w:gridCol w:w="5766"/>
      </w:tblGrid>
      <w:tr>
        <w:trPr>
          <w:trHeight w:val="891" w:hRule="atLeast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  <w:t>Требование к участникам</w:t>
            </w:r>
          </w:p>
        </w:tc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>
          <w:trHeight w:val="1288" w:hRule="atLeast"/>
        </w:trPr>
        <w:tc>
          <w:tcPr>
            <w:tcW w:w="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93" w:type="dxa"/>
              <w:right w:w="93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ind w:hanging="105"/>
              <w:jc w:val="center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15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93" w:type="dxa"/>
              <w:right w:w="93" w:type="dxa"/>
            </w:tcMar>
          </w:tcPr>
          <w:p>
            <w:pPr>
              <w:pStyle w:val="Normal"/>
              <w:keepNext w:val="true"/>
              <w:widowControl w:val="false"/>
              <w:spacing w:before="120" w:after="0"/>
              <w:jc w:val="both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shd w:fill="FFFFFF" w:val="clear"/>
                <w:lang w:eastAsia="en-US"/>
              </w:rPr>
              <w:t xml:space="preserve">Наличие у участника совокупного опыта (в рамках одного или нескольких договоров) оказания услуг по техническому обслуживанию и ремонту ТС, за последние </w:t>
            </w:r>
            <w:r>
              <w:rPr>
                <w:rFonts w:eastAsia="Calibri" w:eastAsiaTheme="minorHAnsi"/>
                <w:color w:val="000000"/>
                <w:sz w:val="22"/>
                <w:szCs w:val="22"/>
                <w:u w:val="single"/>
                <w:shd w:fill="FFFFFF" w:val="clear"/>
                <w:lang w:eastAsia="en-US"/>
              </w:rPr>
              <w:t>5 (пять) лет</w:t>
            </w:r>
            <w:r>
              <w:rPr>
                <w:rFonts w:eastAsia="Calibri" w:eastAsiaTheme="minorHAnsi"/>
                <w:color w:val="000000"/>
                <w:sz w:val="22"/>
                <w:szCs w:val="22"/>
                <w:shd w:fill="FFFFFF" w:val="clear"/>
                <w:lang w:eastAsia="en-US"/>
              </w:rPr>
              <w:t xml:space="preserve">, предшествующих дате подачи заявки участником, при этом должны быть исполнены обязательства в совокупном (суммарном) объеме </w:t>
            </w:r>
            <w:r>
              <w:rPr>
                <w:rFonts w:eastAsia="Calibri" w:eastAsiaTheme="minorHAnsi"/>
                <w:color w:val="000000"/>
                <w:sz w:val="22"/>
                <w:szCs w:val="22"/>
                <w:u w:val="single"/>
                <w:shd w:fill="FFFFFF" w:val="clear"/>
                <w:lang w:eastAsia="en-US"/>
              </w:rPr>
              <w:t xml:space="preserve">не менее 30 % </w:t>
            </w:r>
            <w:r>
              <w:rPr>
                <w:rFonts w:eastAsia="Calibri" w:eastAsiaTheme="minorHAnsi"/>
                <w:color w:val="000000"/>
                <w:sz w:val="22"/>
                <w:szCs w:val="22"/>
                <w:shd w:fill="FFFFFF" w:val="clear"/>
                <w:lang w:eastAsia="en-US"/>
              </w:rPr>
              <w:t>от размера НМЦ лота, указанной в Извещении.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576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lineRule="atLeast" w:line="240"/>
              <w:ind w:left="126" w:right="136" w:hanging="0"/>
              <w:rPr>
                <w:rFonts w:eastAsia="Arial Unicode MS"/>
                <w:sz w:val="22"/>
                <w:szCs w:val="22"/>
                <w:u w:val="single"/>
              </w:rPr>
            </w:pPr>
            <w:r>
              <w:rPr>
                <w:rFonts w:eastAsia="Arial Unicode MS"/>
                <w:sz w:val="22"/>
                <w:szCs w:val="22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tLeast" w:line="240"/>
              <w:ind w:left="413" w:right="136" w:hanging="283"/>
              <w:jc w:val="both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копии договоров, подписанных с обеих сторон;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tLeast" w:line="240"/>
              <w:ind w:left="413" w:right="136" w:hanging="283"/>
              <w:jc w:val="both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копии товарных накладных по форме ТОРГ-12 или УПД (Универсальный передаточный документ), подписанных с обеих сторон, свидетельствующих о выполнении поставок в рамках каждого предоставленного в виде копии договора.</w:t>
            </w:r>
          </w:p>
          <w:p>
            <w:pPr>
              <w:pStyle w:val="Normal"/>
              <w:keepNext w:val="true"/>
              <w:widowControl w:val="false"/>
              <w:shd w:val="clear" w:color="auto" w:fill="FFFFFF"/>
              <w:spacing w:lineRule="atLeast" w:line="240"/>
              <w:ind w:left="130" w:right="136" w:hanging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К рассмотрению не принимаются сведения, не позволяющие явным (однозначным) образом определить опыт Участника.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0"/>
        </w:tabs>
        <w:ind w:left="2977" w:hanging="2836"/>
        <w:jc w:val="both"/>
        <w:rPr>
          <w:rFonts w:eastAsia="Times New Roman"/>
          <w:bCs/>
          <w:kern w:val="2"/>
          <w:sz w:val="24"/>
          <w:szCs w:val="24"/>
        </w:rPr>
      </w:pPr>
      <w:r>
        <w:rPr>
          <w:rFonts w:eastAsia="Times New Roman"/>
          <w:bCs/>
          <w:kern w:val="2"/>
          <w:sz w:val="24"/>
          <w:szCs w:val="24"/>
        </w:rPr>
      </w:r>
      <w:bookmarkStart w:id="42" w:name="_Toc152596766"/>
      <w:bookmarkStart w:id="43" w:name="_Toc152596766"/>
      <w:bookmarkEnd w:id="43"/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88"/>
        <w:gridCol w:w="1853"/>
        <w:gridCol w:w="2356"/>
        <w:gridCol w:w="246"/>
        <w:gridCol w:w="236"/>
      </w:tblGrid>
      <w:tr>
        <w:trPr>
          <w:trHeight w:val="300" w:hRule="atLeast"/>
        </w:trPr>
        <w:tc>
          <w:tcPr>
            <w:tcW w:w="5088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tbl>
            <w:tblPr>
              <w:tblW w:w="496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000" w:noHBand="0" w:noVBand="0" w:firstColumn="0" w:lastRow="0" w:lastColumn="0" w:firstRow="0"/>
            </w:tblPr>
            <w:tblGrid>
              <w:gridCol w:w="4960"/>
            </w:tblGrid>
            <w:tr>
              <w:trPr>
                <w:trHeight w:val="300" w:hRule="atLeast"/>
              </w:trPr>
              <w:tc>
                <w:tcPr>
                  <w:tcW w:w="4960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Ответственный исполнитель 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5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6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779" w:type="dxa"/>
            <w:gridSpan w:val="5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КБТУ                                                                                                          Токмаков А.Н.</w:t>
            </w:r>
          </w:p>
        </w:tc>
      </w:tr>
      <w:tr>
        <w:trPr>
          <w:trHeight w:val="300" w:hRule="exact"/>
        </w:trPr>
        <w:tc>
          <w:tcPr>
            <w:tcW w:w="5088" w:type="dxa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5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6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088" w:type="dxa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53" w:type="dxa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56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779" w:type="dxa"/>
            <w:gridSpan w:val="5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5088" w:type="dxa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Технический куратор</w:t>
            </w:r>
          </w:p>
        </w:tc>
        <w:tc>
          <w:tcPr>
            <w:tcW w:w="1853" w:type="dxa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56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5088" w:type="dxa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группы контроля</w:t>
            </w:r>
          </w:p>
        </w:tc>
        <w:tc>
          <w:tcPr>
            <w:tcW w:w="1853" w:type="dxa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56" w:type="dxa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5088" w:type="dxa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Эксплуатации, обслуживания и</w:t>
            </w:r>
          </w:p>
        </w:tc>
        <w:tc>
          <w:tcPr>
            <w:tcW w:w="185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6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5088" w:type="dxa"/>
            <w:tcBorders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Ремонта технических средств</w:t>
            </w:r>
          </w:p>
        </w:tc>
        <w:tc>
          <w:tcPr>
            <w:tcW w:w="185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6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Патычек Ю.А.</w:t>
            </w:r>
          </w:p>
        </w:tc>
        <w:tc>
          <w:tcPr>
            <w:tcW w:w="24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276" w:right="707" w:gutter="0" w:header="680" w:top="737" w:footer="0" w:bottom="568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</w:tabs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uiPriority w:val="99"/>
    <w:unhideWhenUsed/>
    <w:rsid w:val="00144bd3"/>
    <w:rPr>
      <w:color w:val="0563C1" w:themeColor="hyperlink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6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4"/>
    <w:qFormat/>
    <w:rPr>
      <w:sz w:val="26"/>
      <w:szCs w:val="26"/>
    </w:rPr>
  </w:style>
  <w:style w:type="character" w:styleId="31" w:customStyle="1">
    <w:name w:val="УРОВЕНЬ_Абзац_тип3 Знак"/>
    <w:link w:val="37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Pr>
      <w:sz w:val="28"/>
      <w:szCs w:val="28"/>
    </w:rPr>
  </w:style>
  <w:style w:type="character" w:styleId="Apple-style-span" w:customStyle="1">
    <w:name w:val="apple-style-span"/>
    <w:qFormat/>
    <w:rPr/>
  </w:style>
  <w:style w:type="character" w:styleId="Style18" w:customStyle="1">
    <w:name w:val="Заголовок Знак"/>
    <w:basedOn w:val="DefaultParagraphFont"/>
    <w:link w:val="113"/>
    <w:qFormat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qFormat/>
    <w:rPr>
      <w:rFonts w:ascii="Calibri Light" w:hAnsi="Calibri Light" w:eastAsia="PMingLiU" w:cs="Times New Roman"/>
      <w:spacing w:val="-10"/>
      <w:kern w:val="2"/>
      <w:sz w:val="56"/>
      <w:szCs w:val="56"/>
      <w:lang w:val="en-GB"/>
    </w:rPr>
  </w:style>
  <w:style w:type="character" w:styleId="FollowedHyperlink" w:customStyle="1">
    <w:name w:val="FollowedHyperlink"/>
    <w:basedOn w:val="DefaultParagraphFont"/>
    <w:rPr>
      <w:color w:val="954F72"/>
      <w:u w:val="single"/>
    </w:rPr>
  </w:style>
  <w:style w:type="character" w:styleId="Style19" w:customStyle="1">
    <w:name w:val="Ссылка указателя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link w:val="13"/>
    <w:qFormat/>
    <w:pPr>
      <w:spacing w:before="0" w:after="0"/>
      <w:contextualSpacing/>
    </w:pPr>
    <w:rPr>
      <w:rFonts w:ascii="Calibri Light" w:hAnsi="Calibri Light" w:eastAsia="PMingLiU"/>
      <w:spacing w:val="-10"/>
      <w:kern w:val="2"/>
      <w:sz w:val="56"/>
      <w:szCs w:val="56"/>
      <w:lang w:val="en-GB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22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/>
      <w:color w:val="FF0000"/>
      <w:sz w:val="24"/>
      <w:szCs w:val="24"/>
    </w:rPr>
  </w:style>
  <w:style w:type="paragraph" w:styleId="Style27" w:customStyle="1">
    <w:name w:val="Раздел регламента"/>
    <w:basedOn w:val="Normal"/>
    <w:qFormat/>
    <w:pPr/>
    <w:rPr/>
  </w:style>
  <w:style w:type="paragraph" w:styleId="Style28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link w:val="Style14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/>
      <w:iCs/>
      <w:color w:val="FF0000"/>
      <w:sz w:val="24"/>
      <w:szCs w:val="24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30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10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qFormat/>
    <w:pPr/>
    <w:rPr>
      <w:rFonts w:ascii="Consolas" w:hAnsi="Consolas" w:eastAsia="Calibri"/>
      <w:sz w:val="21"/>
      <w:szCs w:val="21"/>
      <w:lang w:val="en-GB" w:eastAsia="en-US"/>
    </w:rPr>
  </w:style>
  <w:style w:type="paragraph" w:styleId="Style38" w:customStyle="1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39" w:customStyle="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0" w:customStyle="1">
    <w:name w:val="Раздел договора"/>
    <w:basedOn w:val="Normal"/>
    <w:next w:val="Style39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1" w:customStyle="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2" w:customStyle="1">
    <w:name w:val="Текст1"/>
    <w:basedOn w:val="Normal"/>
    <w:qFormat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9" w:customStyle="1">
    <w:name w:val="Обычный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 w:customStyle="1">
    <w:name w:val="Заголовок1"/>
    <w:basedOn w:val="Normal"/>
    <w:next w:val="Normal"/>
    <w:link w:val="Style18"/>
    <w:qFormat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Msonormal" w:customStyle="1">
    <w:name w:val="msonormal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Style41" w:customStyle="1">
    <w:name w:val="[РГ] Текст"/>
    <w:basedOn w:val="Normal"/>
    <w:qFormat/>
    <w:pPr>
      <w:spacing w:before="120" w:after="0"/>
      <w:jc w:val="both"/>
    </w:pPr>
    <w:rPr>
      <w:rFonts w:eastAsia="Calibri"/>
      <w:color w:val="000000"/>
      <w:sz w:val="26"/>
      <w:szCs w:val="26"/>
      <w:lang w:eastAsia="en-US"/>
    </w:rPr>
  </w:style>
  <w:style w:type="paragraph" w:styleId="Style42" w:customStyle="1">
    <w:name w:val="Содержимое врезки"/>
    <w:basedOn w:val="Normal"/>
    <w:qFormat/>
    <w:pPr/>
    <w:rPr/>
  </w:style>
  <w:style w:type="paragraph" w:styleId="Style4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4" w:customStyle="1">
    <w:name w:val="Заголовок таблицы"/>
    <w:basedOn w:val="Style43"/>
    <w:qFormat/>
    <w:pPr>
      <w:jc w:val="center"/>
    </w:pPr>
    <w:rPr>
      <w:b/>
      <w:bCs/>
    </w:rPr>
  </w:style>
  <w:style w:type="paragraph" w:styleId="114" w:customStyle="1">
    <w:name w:val="Основной текст1"/>
    <w:basedOn w:val="Normal"/>
    <w:qFormat/>
    <w:pPr>
      <w:widowControl w:val="false"/>
      <w:shd w:val="clear" w:color="auto" w:fill="FFFFFF"/>
      <w:spacing w:lineRule="auto" w:line="252"/>
      <w:jc w:val="both"/>
    </w:pPr>
    <w:rPr>
      <w:sz w:val="26"/>
      <w:szCs w:val="26"/>
      <w:lang w:eastAsia="en-US"/>
    </w:rPr>
  </w:style>
  <w:style w:type="paragraph" w:styleId="Style45" w:customStyle="1">
    <w:name w:val="Другое"/>
    <w:basedOn w:val="Normal"/>
    <w:qFormat/>
    <w:pPr>
      <w:widowControl w:val="false"/>
      <w:shd w:val="clear" w:color="auto" w:fill="FFFFFF"/>
    </w:pPr>
    <w:rPr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Стиль1"/>
    <w:qFormat/>
  </w:style>
  <w:style w:type="numbering" w:styleId="210" w:customStyle="1">
    <w:name w:val="Стиль2"/>
    <w:qFormat/>
  </w:style>
  <w:style w:type="numbering" w:styleId="116" w:customStyle="1">
    <w:name w:val="Нет списка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7DE7-655C-406E-BED3-2014239C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AlterOffice/3.4.0.9$Linux_X86_64 LibreOffice_project/b8daf9e823b1a5463a2f48435ddc2e8696e7d4fc</Application>
  <AppVersion>15.0000</AppVersion>
  <Pages>10</Pages>
  <Words>3229</Words>
  <Characters>22230</Characters>
  <CharactersWithSpaces>25573</CharactersWithSpaces>
  <Paragraphs>528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2023-12-08T08:04:00Z</dcterms:created>
  <dc:creator>Быстров Олег Геннадьевич</dc:creator>
  <dc:description/>
  <dc:language>ru-RU</dc:language>
  <cp:lastModifiedBy>bichoevajt@corp.gidroogk.com</cp:lastModifiedBy>
  <cp:lastPrinted>2023-12-08T12:46:35Z</cp:lastPrinted>
  <dcterms:modified xsi:type="dcterms:W3CDTF">2026-06-05T13:04:53Z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