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left="0" w:hanging="0"/>
        <w:outlineLvl w:val="0"/>
        <w:rPr>
          <w:sz w:val="22"/>
          <w:szCs w:val="22"/>
        </w:rPr>
      </w:pPr>
      <w:r>
        <w:rPr>
          <w:sz w:val="22"/>
          <w:szCs w:val="22"/>
        </w:rPr>
        <w:t>Договор поставки № _________________</w:t>
      </w:r>
    </w:p>
    <w:p>
      <w:pPr>
        <w:pStyle w:val="Title"/>
        <w:numPr>
          <w:ilvl w:val="0"/>
          <w:numId w:val="0"/>
        </w:numPr>
        <w:ind w:left="0" w:firstLine="567"/>
        <w:outlineLvl w:val="0"/>
        <w:rPr>
          <w:sz w:val="22"/>
          <w:szCs w:val="22"/>
        </w:rPr>
      </w:pPr>
      <w:r>
        <w:rPr>
          <w:sz w:val="22"/>
          <w:szCs w:val="22"/>
        </w:rPr>
      </w:r>
    </w:p>
    <w:p>
      <w:pPr>
        <w:pStyle w:val="Normal"/>
        <w:shd w:val="clear" w:color="auto" w:fill="FFFFFF"/>
        <w:rPr>
          <w:sz w:val="22"/>
          <w:szCs w:val="22"/>
        </w:rPr>
      </w:pPr>
      <w:r>
        <w:rPr>
          <w:sz w:val="22"/>
          <w:szCs w:val="22"/>
        </w:rPr>
        <w:t>г. Волжский</w:t>
        <w:tab/>
        <w:tab/>
        <w:tab/>
        <w:tab/>
        <w:tab/>
        <w:tab/>
        <w:t xml:space="preserve">                            «____» ________________ 2026 г.</w:t>
      </w:r>
    </w:p>
    <w:p>
      <w:pPr>
        <w:pStyle w:val="Normal"/>
        <w:shd w:val="clear" w:color="auto" w:fill="FFFFFF"/>
        <w:ind w:firstLine="567"/>
        <w:jc w:val="both"/>
        <w:rPr>
          <w:sz w:val="22"/>
          <w:szCs w:val="22"/>
        </w:rPr>
      </w:pPr>
      <w:r>
        <w:rPr>
          <w:sz w:val="22"/>
          <w:szCs w:val="22"/>
        </w:rPr>
      </w:r>
    </w:p>
    <w:p>
      <w:pPr>
        <w:pStyle w:val="Normal"/>
        <w:ind w:firstLine="567"/>
        <w:jc w:val="both"/>
        <w:rPr>
          <w:sz w:val="22"/>
          <w:szCs w:val="22"/>
        </w:rPr>
      </w:pPr>
      <w:r>
        <w:rPr>
          <w:b/>
          <w:sz w:val="22"/>
          <w:szCs w:val="22"/>
        </w:rPr>
        <w:t xml:space="preserve">Акционерное общество «Гидроремонт-ВКК» (АО «Гидроремонт-ВКК»), </w:t>
      </w:r>
      <w:r>
        <w:rPr>
          <w:sz w:val="22"/>
          <w:szCs w:val="22"/>
        </w:rPr>
        <w:t>именуемое в дальнейшем «</w:t>
      </w:r>
      <w:r>
        <w:rPr>
          <w:b/>
          <w:sz w:val="22"/>
          <w:szCs w:val="22"/>
        </w:rPr>
        <w:t>Покупатель</w:t>
      </w:r>
      <w:r>
        <w:rPr>
          <w:sz w:val="22"/>
          <w:szCs w:val="22"/>
        </w:rPr>
        <w:t>», в лице ____________________________________, действующего на основании ____________________, с одной стороны, и</w:t>
      </w:r>
    </w:p>
    <w:p>
      <w:pPr>
        <w:pStyle w:val="Normal"/>
        <w:tabs>
          <w:tab w:val="clear" w:pos="720"/>
          <w:tab w:val="left" w:pos="993" w:leader="none"/>
        </w:tabs>
        <w:spacing w:before="0" w:after="0"/>
        <w:ind w:firstLine="567"/>
        <w:contextualSpacing/>
        <w:jc w:val="both"/>
        <w:rPr>
          <w:sz w:val="22"/>
          <w:szCs w:val="22"/>
        </w:rPr>
      </w:pPr>
      <w:r>
        <w:rPr>
          <w:b/>
          <w:sz w:val="22"/>
          <w:szCs w:val="22"/>
        </w:rPr>
        <w:t xml:space="preserve">__________________________, </w:t>
      </w:r>
      <w:r>
        <w:rPr>
          <w:sz w:val="22"/>
          <w:szCs w:val="22"/>
        </w:rPr>
        <w:t>именуемое в дальнейшем</w:t>
      </w:r>
      <w:r>
        <w:rPr>
          <w:b/>
          <w:sz w:val="22"/>
          <w:szCs w:val="22"/>
        </w:rPr>
        <w:t xml:space="preserve"> «Поставщик», </w:t>
      </w:r>
      <w:r>
        <w:rPr>
          <w:sz w:val="22"/>
          <w:szCs w:val="22"/>
        </w:rPr>
        <w:t xml:space="preserve">в лице __________________, действующего на основании ______________,  </w:t>
      </w:r>
    </w:p>
    <w:p>
      <w:pPr>
        <w:pStyle w:val="Normal"/>
        <w:tabs>
          <w:tab w:val="clear" w:pos="720"/>
          <w:tab w:val="left" w:pos="567" w:leader="none"/>
        </w:tabs>
        <w:ind w:firstLine="567"/>
        <w:jc w:val="both"/>
        <w:rPr>
          <w:sz w:val="22"/>
          <w:szCs w:val="22"/>
        </w:rPr>
      </w:pPr>
      <w:r>
        <w:rPr>
          <w:sz w:val="22"/>
          <w:szCs w:val="22"/>
        </w:rPr>
        <w:t>совместно в дальнейшем именуемые «Стороны», а по отдельности – «Сторона», по результатам проведенной закупочной процедуры способом ____________________________, по лоту № 0005-ТО ДОХ-2026-ГРВКК-ВолФ, на основании ____________, заключили настоящий договор (далее – «Договор») о нижеследующем:</w:t>
      </w:r>
    </w:p>
    <w:p>
      <w:pPr>
        <w:pStyle w:val="Normal"/>
        <w:ind w:firstLine="567"/>
        <w:jc w:val="both"/>
        <w:rPr>
          <w:sz w:val="22"/>
          <w:szCs w:val="22"/>
        </w:rPr>
      </w:pPr>
      <w:r>
        <w:rPr>
          <w:sz w:val="22"/>
          <w:szCs w:val="22"/>
        </w:rPr>
      </w:r>
    </w:p>
    <w:p>
      <w:pPr>
        <w:pStyle w:val="Normal"/>
        <w:widowControl w:val="false"/>
        <w:numPr>
          <w:ilvl w:val="0"/>
          <w:numId w:val="6"/>
        </w:numPr>
        <w:shd w:val="clear" w:color="auto" w:fill="FFFFFF"/>
        <w:tabs>
          <w:tab w:val="clear" w:pos="720"/>
          <w:tab w:val="left" w:pos="426" w:leader="none"/>
        </w:tabs>
        <w:ind w:left="0" w:hanging="0"/>
        <w:jc w:val="center"/>
        <w:rPr>
          <w:b/>
          <w:bCs/>
          <w:sz w:val="22"/>
          <w:szCs w:val="22"/>
        </w:rPr>
      </w:pPr>
      <w:r>
        <w:rPr>
          <w:b/>
          <w:bCs/>
          <w:sz w:val="22"/>
          <w:szCs w:val="22"/>
        </w:rPr>
        <w:t>Предмет Договора</w:t>
      </w:r>
    </w:p>
    <w:p>
      <w:pPr>
        <w:pStyle w:val="Normal"/>
        <w:widowControl w:val="false"/>
        <w:shd w:val="clear" w:color="auto" w:fill="FFFFFF"/>
        <w:ind w:left="567" w:hanging="0"/>
        <w:rPr>
          <w:b/>
          <w:bCs/>
          <w:sz w:val="22"/>
          <w:szCs w:val="22"/>
        </w:rPr>
      </w:pPr>
      <w:r>
        <w:rPr>
          <w:b/>
          <w:bCs/>
          <w:sz w:val="22"/>
          <w:szCs w:val="22"/>
        </w:rPr>
      </w:r>
    </w:p>
    <w:p>
      <w:pPr>
        <w:pStyle w:val="Title"/>
        <w:numPr>
          <w:ilvl w:val="1"/>
          <w:numId w:val="6"/>
        </w:numPr>
        <w:tabs>
          <w:tab w:val="clear" w:pos="720"/>
          <w:tab w:val="left" w:pos="993" w:leader="none"/>
        </w:tabs>
        <w:spacing w:before="0" w:after="0"/>
        <w:ind w:left="0" w:firstLine="567"/>
        <w:contextualSpacing/>
        <w:jc w:val="both"/>
        <w:rPr>
          <w:b w:val="false"/>
          <w:sz w:val="22"/>
          <w:szCs w:val="22"/>
        </w:rPr>
      </w:pPr>
      <w:r>
        <w:rPr>
          <w:b w:val="false"/>
          <w:sz w:val="22"/>
          <w:szCs w:val="22"/>
        </w:rPr>
        <w:t xml:space="preserve">Поставщик обязуется передать Покупателю </w:t>
      </w:r>
      <w:r>
        <w:rPr>
          <w:b/>
          <w:bCs/>
          <w:sz w:val="22"/>
          <w:szCs w:val="22"/>
        </w:rPr>
        <w:t>____________________</w:t>
      </w:r>
      <w:r>
        <w:rPr>
          <w:sz w:val="22"/>
          <w:szCs w:val="22"/>
        </w:rPr>
        <w:t xml:space="preserve"> </w:t>
      </w:r>
      <w:r>
        <w:rPr>
          <w:b w:val="false"/>
          <w:sz w:val="22"/>
          <w:szCs w:val="22"/>
        </w:rPr>
        <w:t>(далее – «Продукция») на условиях, согласованных Сторонами в Договоре, в соответствии со Спецификацией № 1 (</w:t>
      </w:r>
      <w:r>
        <w:rPr>
          <w:sz w:val="22"/>
          <w:szCs w:val="22"/>
        </w:rPr>
        <w:t>Приложение № 1</w:t>
      </w:r>
      <w:r>
        <w:rPr>
          <w:b w:val="false"/>
          <w:sz w:val="22"/>
          <w:szCs w:val="22"/>
        </w:rPr>
        <w:t>), и техническими требованиями (</w:t>
      </w:r>
      <w:r>
        <w:rPr>
          <w:sz w:val="22"/>
          <w:szCs w:val="22"/>
        </w:rPr>
        <w:t>Приложение №2</w:t>
      </w:r>
      <w:r>
        <w:rPr>
          <w:b w:val="false"/>
          <w:sz w:val="22"/>
          <w:szCs w:val="22"/>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540" w:leader="none"/>
          <w:tab w:val="left" w:pos="851" w:leader="none"/>
          <w:tab w:val="left" w:pos="993" w:leader="none"/>
        </w:tabs>
        <w:suppressAutoHyphens w:val="false"/>
        <w:spacing w:before="0" w:after="0"/>
        <w:ind w:left="0" w:firstLine="567"/>
        <w:contextualSpacing w:val="false"/>
        <w:jc w:val="both"/>
        <w:rPr>
          <w:shd w:fill="FFFFFF" w:val="clear"/>
        </w:rPr>
      </w:pPr>
      <w:r>
        <w:rPr>
          <w:sz w:val="22"/>
          <w:szCs w:val="22"/>
          <w:shd w:fill="FFFFFF" w:val="clear"/>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Поставка по Договору выполняется для нужд Волжского филиала АО «Гидроремонт-ВКК» в г. Волжский.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Место поставки: РФ, Волгоградская обл., г. Волжский, пр-т Ленина, д. 1А (далее – «Место поставки»).</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Срок поставки Продукции по Договору: не позднее 31.08.2026г.</w:t>
      </w:r>
    </w:p>
    <w:p>
      <w:pPr>
        <w:pStyle w:val="ListParagraph"/>
        <w:shd w:val="clear" w:color="auto" w:fill="FFFFFF"/>
        <w:tabs>
          <w:tab w:val="clear" w:pos="720"/>
          <w:tab w:val="left" w:pos="540" w:leader="none"/>
          <w:tab w:val="left" w:pos="1425" w:leader="none"/>
        </w:tabs>
        <w:spacing w:before="0" w:after="0"/>
        <w:ind w:left="0" w:firstLine="567"/>
        <w:contextualSpacing w:val="false"/>
        <w:jc w:val="both"/>
        <w:rPr>
          <w:sz w:val="22"/>
          <w:szCs w:val="22"/>
        </w:rPr>
      </w:pPr>
      <w:r>
        <w:rPr>
          <w:sz w:val="22"/>
          <w:szCs w:val="22"/>
        </w:rPr>
      </w:r>
      <w:bookmarkStart w:id="0" w:name="_GoBack"/>
      <w:bookmarkStart w:id="1" w:name="_GoBack"/>
      <w:bookmarkEnd w:id="1"/>
    </w:p>
    <w:p>
      <w:pPr>
        <w:pStyle w:val="Normal"/>
        <w:widowControl w:val="false"/>
        <w:numPr>
          <w:ilvl w:val="0"/>
          <w:numId w:val="6"/>
        </w:numPr>
        <w:shd w:val="clear" w:color="auto" w:fill="FFFFFF"/>
        <w:tabs>
          <w:tab w:val="clear" w:pos="720"/>
          <w:tab w:val="left" w:pos="426" w:leader="none"/>
        </w:tabs>
        <w:ind w:left="0" w:hanging="0"/>
        <w:jc w:val="center"/>
        <w:rPr>
          <w:b/>
          <w:sz w:val="22"/>
          <w:szCs w:val="22"/>
        </w:rPr>
      </w:pPr>
      <w:r>
        <w:rPr>
          <w:b/>
          <w:sz w:val="22"/>
          <w:szCs w:val="22"/>
        </w:rPr>
        <w:t>Цена Договора и порядок оплаты</w:t>
      </w:r>
    </w:p>
    <w:p>
      <w:pPr>
        <w:pStyle w:val="Normal"/>
        <w:widowControl w:val="false"/>
        <w:shd w:val="clear" w:color="auto" w:fill="FFFFFF"/>
        <w:rPr>
          <w:b/>
          <w:sz w:val="22"/>
          <w:szCs w:val="22"/>
        </w:rPr>
      </w:pPr>
      <w:r>
        <w:rPr>
          <w:b/>
          <w:sz w:val="22"/>
          <w:szCs w:val="22"/>
        </w:rPr>
      </w:r>
    </w:p>
    <w:p>
      <w:pPr>
        <w:pStyle w:val="ListParagraph"/>
        <w:numPr>
          <w:ilvl w:val="1"/>
          <w:numId w:val="6"/>
        </w:numPr>
        <w:shd w:val="clear" w:color="auto" w:fill="FFFFFF"/>
        <w:tabs>
          <w:tab w:val="clear" w:pos="720"/>
          <w:tab w:val="left" w:pos="851" w:leader="none"/>
          <w:tab w:val="left" w:pos="993" w:leader="none"/>
        </w:tabs>
        <w:spacing w:before="0" w:after="0"/>
        <w:ind w:left="0" w:firstLine="567"/>
        <w:contextualSpacing w:val="false"/>
        <w:jc w:val="both"/>
        <w:rPr>
          <w:sz w:val="22"/>
          <w:szCs w:val="22"/>
        </w:rPr>
      </w:pPr>
      <w:r>
        <w:rPr>
          <w:sz w:val="22"/>
          <w:szCs w:val="22"/>
        </w:rPr>
        <w:t xml:space="preserve">Общая стоимость Продукции (далее – «Цена Договора») составляет </w:t>
      </w:r>
      <w:r>
        <w:rPr>
          <w:b/>
          <w:bCs/>
          <w:sz w:val="22"/>
          <w:szCs w:val="22"/>
        </w:rPr>
        <w:t xml:space="preserve">_________ (__________) рублей ___ копеек без НДС, </w:t>
      </w:r>
      <w:r>
        <w:rPr>
          <w:b w:val="false"/>
          <w:bCs w:val="false"/>
          <w:sz w:val="22"/>
          <w:szCs w:val="22"/>
        </w:rPr>
        <w:t>при этом НДС исчисляется дополнительно по ставке, установленной ст. 164 Налогового кодекса РФ.</w:t>
      </w:r>
    </w:p>
    <w:p>
      <w:pPr>
        <w:pStyle w:val="ListParagraph"/>
        <w:numPr>
          <w:ilvl w:val="1"/>
          <w:numId w:val="6"/>
        </w:numPr>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 xml:space="preserve">Цена Договора включает в себя </w:t>
      </w:r>
      <w:r>
        <w:rPr>
          <w:bCs/>
          <w:sz w:val="22"/>
          <w:szCs w:val="22"/>
        </w:rPr>
        <w:t xml:space="preserve">прибыль Поставщика, а также расходы Поставщика на производство или приобретение, транспортировку Продукции до Места поставки, погрузку,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2"/>
          <w:szCs w:val="22"/>
        </w:rPr>
        <w:t xml:space="preserve">подлежащие уплате налоги, сборы и пошлины (в т.ч. по таможенному оформлению, если применимо), </w:t>
      </w:r>
      <w:r>
        <w:rPr>
          <w:bCs/>
          <w:sz w:val="22"/>
          <w:szCs w:val="22"/>
        </w:rPr>
        <w:t xml:space="preserve">а также </w:t>
      </w:r>
      <w:r>
        <w:rPr>
          <w:sz w:val="22"/>
          <w:szCs w:val="22"/>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Стоимость единицы Продукции определяется в Спецификации (Приложение № 1).</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Оплата в соответствии с Договором осуществляется следующим образом:</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2.5.1. Платеж в размере 100% (сто процентов) стоимости поставленной Продукции производится Покупателем в течение 30 (тридцати) календарных дней/7 (семь) рабочих дней</w:t>
      </w:r>
      <w:r>
        <w:rPr>
          <w:rStyle w:val="FootnoteReference"/>
          <w:sz w:val="22"/>
          <w:szCs w:val="22"/>
        </w:rPr>
        <w:footnoteReference w:id="2"/>
      </w:r>
      <w:r>
        <w:rPr>
          <w:sz w:val="22"/>
          <w:szCs w:val="22"/>
        </w:rPr>
        <w:t xml:space="preserve">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2.5.2.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ListParagraph"/>
        <w:numPr>
          <w:ilvl w:val="1"/>
          <w:numId w:val="13"/>
        </w:numPr>
        <w:shd w:val="clear" w:color="auto" w:fill="FFFFFF"/>
        <w:tabs>
          <w:tab w:val="clear" w:pos="720"/>
          <w:tab w:val="left" w:pos="480" w:leader="none"/>
          <w:tab w:val="left" w:pos="851" w:leader="none"/>
          <w:tab w:val="left" w:pos="993" w:leader="none"/>
        </w:tabs>
        <w:spacing w:before="0" w:after="0"/>
        <w:ind w:left="0" w:firstLine="567"/>
        <w:contextualSpacing w:val="false"/>
        <w:jc w:val="both"/>
        <w:rPr>
          <w:sz w:val="22"/>
          <w:szCs w:val="22"/>
        </w:rPr>
      </w:pPr>
      <w:r>
        <w:rPr>
          <w:sz w:val="22"/>
          <w:szCs w:val="22"/>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5"/>
        </w:numPr>
        <w:shd w:val="clear" w:color="auto" w:fill="FFFFFF"/>
        <w:tabs>
          <w:tab w:val="clear" w:pos="720"/>
          <w:tab w:val="left" w:pos="1134" w:leader="none"/>
        </w:tabs>
        <w:spacing w:before="0" w:after="0"/>
        <w:ind w:left="0" w:firstLine="567"/>
        <w:contextualSpacing/>
        <w:jc w:val="both"/>
        <w:rPr>
          <w:sz w:val="22"/>
          <w:szCs w:val="22"/>
        </w:rPr>
      </w:pPr>
      <w:r>
        <w:rPr>
          <w:sz w:val="22"/>
          <w:szCs w:val="22"/>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 w:val="left" w:pos="1134" w:leader="none"/>
        </w:tabs>
        <w:spacing w:before="0" w:after="0"/>
        <w:ind w:firstLine="567"/>
        <w:contextualSpacing/>
        <w:jc w:val="both"/>
        <w:rPr>
          <w:sz w:val="22"/>
          <w:szCs w:val="22"/>
        </w:rPr>
      </w:pPr>
      <w:r>
        <w:rPr>
          <w:sz w:val="22"/>
          <w:szCs w:val="22"/>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обязательство Покупателя, по которому произошла задержка, не является денежным.</w:t>
      </w:r>
    </w:p>
    <w:p>
      <w:pPr>
        <w:pStyle w:val="ListParagraph"/>
        <w:numPr>
          <w:ilvl w:val="1"/>
          <w:numId w:val="15"/>
        </w:numPr>
        <w:tabs>
          <w:tab w:val="clear" w:pos="720"/>
          <w:tab w:val="left" w:pos="851" w:leader="none"/>
          <w:tab w:val="left" w:pos="993" w:leader="none"/>
          <w:tab w:val="left" w:pos="1134" w:leader="none"/>
        </w:tabs>
        <w:ind w:left="0" w:firstLine="567"/>
        <w:jc w:val="both"/>
        <w:rPr>
          <w:sz w:val="22"/>
          <w:szCs w:val="22"/>
        </w:rPr>
      </w:pPr>
      <w:r>
        <w:rPr>
          <w:sz w:val="22"/>
          <w:szCs w:val="22"/>
        </w:rPr>
        <w:t>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Индексация Цены Договора не допускается.</w:t>
      </w:r>
    </w:p>
    <w:p>
      <w:pPr>
        <w:pStyle w:val="ListParagraph"/>
        <w:tabs>
          <w:tab w:val="clear" w:pos="720"/>
          <w:tab w:val="left" w:pos="851" w:leader="none"/>
          <w:tab w:val="left" w:pos="1425" w:leader="none"/>
        </w:tabs>
        <w:spacing w:before="0" w:after="0"/>
        <w:ind w:left="567" w:hanging="0"/>
        <w:contextualSpacing w:val="false"/>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Качество, количество и комплектность</w:t>
      </w:r>
    </w:p>
    <w:p>
      <w:pPr>
        <w:pStyle w:val="Normal"/>
        <w:widowControl w:val="false"/>
        <w:shd w:val="clear" w:color="auto" w:fill="FFFFFF"/>
        <w:ind w:left="567" w:hanging="0"/>
        <w:rPr>
          <w:b/>
          <w:sz w:val="22"/>
          <w:szCs w:val="22"/>
        </w:rPr>
      </w:pPr>
      <w:r>
        <w:rPr>
          <w:b/>
          <w:sz w:val="22"/>
          <w:szCs w:val="22"/>
        </w:rPr>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Сертификат качества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Технический паспорт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Инструкция по эксплуатации (монтажу и т.п.)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Упаковочный лист на Продукцию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2"/>
          <w:szCs w:val="22"/>
        </w:rPr>
        <w:t>товарно-транспортную накладную формы № 1-Т или Железнодорожную накладную (форма № ГУ-27).</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Поставщик обязан обеспечить присутствие во время приемки Продукцию и в месте поставки своего представителя, уполномоченного надлежащим образом оформленной доверенностью на передачу Продукции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Оригинал доверенности представителя Поставщика подлежит передаче Покупателю.</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неявки представителя Поставщика и / или его отказа от подписания Акта рекламации при приемке Продукции,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2"/>
          <w:szCs w:val="22"/>
        </w:rPr>
        <w:t>товарно-транспортной накладной по форме № 1-Т) или Железнодорожной накладной (форма № ГУ-27)</w:t>
      </w:r>
      <w:r>
        <w:rPr>
          <w:sz w:val="22"/>
          <w:szCs w:val="22"/>
        </w:rPr>
        <w:t xml:space="preserve">. В случае отсутствия замечаний Покупатель подписывает </w:t>
      </w:r>
      <w:r>
        <w:rPr>
          <w:color w:val="000000"/>
          <w:sz w:val="22"/>
          <w:szCs w:val="22"/>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невыполнении Поставщиком требований п.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10 (Десяти) рабочих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rFonts w:eastAsia="Calibri"/>
          <w:sz w:val="22"/>
          <w:szCs w:val="22"/>
          <w:lang w:eastAsia="en-US"/>
        </w:rPr>
        <w:t>Поставщик обязан установить на продукцию</w:t>
      </w:r>
      <w:r>
        <w:rPr>
          <w:rFonts w:eastAsia="Calibri"/>
          <w:sz w:val="22"/>
          <w:szCs w:val="22"/>
          <w:shd w:fill="auto" w:val="clear"/>
          <w:lang w:eastAsia="en-US"/>
        </w:rPr>
        <w:t xml:space="preserve"> гарантийный срок </w:t>
      </w:r>
      <w:r>
        <w:rPr>
          <w:rFonts w:eastAsia="Calibri"/>
          <w:sz w:val="22"/>
          <w:szCs w:val="22"/>
          <w:shd w:fill="auto" w:val="clear"/>
          <w:lang w:eastAsia="en-US"/>
        </w:rPr>
        <w:t>36</w:t>
      </w:r>
      <w:r>
        <w:rPr>
          <w:rFonts w:eastAsia="Calibri"/>
          <w:sz w:val="22"/>
          <w:szCs w:val="22"/>
          <w:shd w:fill="auto" w:val="clear"/>
          <w:lang w:eastAsia="en-US"/>
        </w:rPr>
        <w:t xml:space="preserve"> (</w:t>
      </w:r>
      <w:r>
        <w:rPr>
          <w:rFonts w:eastAsia="Calibri"/>
          <w:sz w:val="22"/>
          <w:szCs w:val="22"/>
          <w:shd w:fill="auto" w:val="clear"/>
          <w:lang w:eastAsia="en-US"/>
        </w:rPr>
        <w:t>Тридцать шесть</w:t>
      </w:r>
      <w:r>
        <w:rPr>
          <w:rFonts w:eastAsia="Calibri"/>
          <w:sz w:val="22"/>
          <w:szCs w:val="22"/>
          <w:shd w:fill="auto" w:val="clear"/>
          <w:lang w:eastAsia="en-US"/>
        </w:rPr>
        <w:t>) месяцев с даты подписания Сторонами соответствующей товарной накладной по форме ТОРГ-12 или Универса</w:t>
      </w:r>
      <w:r>
        <w:rPr>
          <w:rFonts w:eastAsia="Calibri"/>
          <w:sz w:val="22"/>
          <w:szCs w:val="22"/>
          <w:lang w:eastAsia="en-US"/>
        </w:rPr>
        <w:t>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r>
        <w:rPr>
          <w:sz w:val="22"/>
          <w:szCs w:val="22"/>
        </w:rPr>
        <w:t>.</w:t>
      </w:r>
    </w:p>
    <w:p>
      <w:pPr>
        <w:pStyle w:val="Normal"/>
        <w:tabs>
          <w:tab w:val="clear" w:pos="720"/>
          <w:tab w:val="left" w:pos="1134" w:leader="none"/>
          <w:tab w:val="left" w:pos="1276" w:leader="none"/>
        </w:tabs>
        <w:spacing w:before="0" w:after="0"/>
        <w:ind w:firstLine="567"/>
        <w:contextualSpacing/>
        <w:jc w:val="both"/>
        <w:rPr>
          <w:sz w:val="22"/>
          <w:szCs w:val="22"/>
        </w:rPr>
      </w:pPr>
      <w:r>
        <w:rPr>
          <w:sz w:val="22"/>
          <w:szCs w:val="22"/>
        </w:rPr>
        <w:t>Установленный в отношении Продукции Гарантийный срок распространяется на все составные части и комплектующие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Устранение недостатков осуществляется Поставщиком своими силами, за свой счет и в срок, указанный </w:t>
      </w:r>
      <w:bookmarkStart w:id="2" w:name="OLE_LINK5"/>
      <w:bookmarkStart w:id="3" w:name="OLE_LINK6"/>
      <w:r>
        <w:rPr>
          <w:sz w:val="22"/>
          <w:szCs w:val="22"/>
        </w:rPr>
        <w:t>Покупателем в соответствии с п. 3.17. Договора</w:t>
      </w:r>
      <w:bookmarkEnd w:id="2"/>
      <w:bookmarkEnd w:id="3"/>
      <w:r>
        <w:rPr>
          <w:sz w:val="22"/>
          <w:szCs w:val="22"/>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Если Поставщик не устранит недостатки в срок, установленный согласно п. 3.17.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shd w:val="clear" w:color="auto" w:fill="FFFFFF"/>
        <w:tabs>
          <w:tab w:val="clear" w:pos="720"/>
          <w:tab w:val="left" w:pos="1134" w:leader="none"/>
          <w:tab w:val="left" w:pos="1276" w:leader="none"/>
        </w:tabs>
        <w:ind w:left="567" w:hanging="0"/>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Тара, упаковка, маркировка</w:t>
      </w:r>
    </w:p>
    <w:p>
      <w:pPr>
        <w:pStyle w:val="Normal"/>
        <w:widowControl w:val="false"/>
        <w:shd w:val="clear" w:color="auto" w:fill="FFFFFF"/>
        <w:rPr>
          <w:b/>
          <w:sz w:val="22"/>
          <w:szCs w:val="22"/>
        </w:rPr>
      </w:pPr>
      <w:r>
        <w:rPr>
          <w:b/>
          <w:sz w:val="22"/>
          <w:szCs w:val="22"/>
        </w:rPr>
      </w:r>
    </w:p>
    <w:p>
      <w:pPr>
        <w:pStyle w:val="ListParagraph"/>
        <w:numPr>
          <w:ilvl w:val="0"/>
          <w:numId w:val="4"/>
        </w:numPr>
        <w:shd w:val="clear" w:color="auto" w:fill="FFFFFF"/>
        <w:tabs>
          <w:tab w:val="clear" w:pos="720"/>
          <w:tab w:val="left" w:pos="993" w:leader="none"/>
          <w:tab w:val="left" w:pos="1418" w:leader="none"/>
        </w:tabs>
        <w:jc w:val="both"/>
        <w:rPr>
          <w:vanish/>
          <w:sz w:val="22"/>
          <w:szCs w:val="22"/>
        </w:rPr>
      </w:pPr>
      <w:r>
        <w:rPr>
          <w:vanish/>
          <w:sz w:val="22"/>
          <w:szCs w:val="22"/>
        </w:rPr>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4.1 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4.2 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4.3 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 брутто/нетто каждого места;</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Продукции;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номера мест и их общее количество;</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весогабаритные характеристики мест;</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центр тяжести;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условия хранения;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обозначения типа «не бросать» и другие обычно используемые обозначения.</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4.4 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ind w:firstLine="567"/>
        <w:jc w:val="both"/>
        <w:rPr>
          <w:sz w:val="22"/>
          <w:szCs w:val="22"/>
        </w:rPr>
      </w:pPr>
      <w:r>
        <w:rPr>
          <w:sz w:val="22"/>
          <w:szCs w:val="22"/>
        </w:rPr>
      </w:r>
    </w:p>
    <w:p>
      <w:pPr>
        <w:pStyle w:val="Normal"/>
        <w:widowControl w:val="false"/>
        <w:numPr>
          <w:ilvl w:val="0"/>
          <w:numId w:val="14"/>
        </w:numPr>
        <w:shd w:val="clear" w:color="auto" w:fill="FFFFFF"/>
        <w:jc w:val="center"/>
        <w:rPr>
          <w:b/>
          <w:sz w:val="22"/>
          <w:szCs w:val="22"/>
        </w:rPr>
      </w:pPr>
      <w:r>
        <w:rPr>
          <w:b/>
          <w:sz w:val="22"/>
          <w:szCs w:val="22"/>
        </w:rPr>
        <w:t>Сроки, порядок и условия поставки, переход права собственности</w:t>
      </w:r>
    </w:p>
    <w:p>
      <w:pPr>
        <w:pStyle w:val="Normal"/>
        <w:widowControl w:val="false"/>
        <w:shd w:val="clear" w:color="auto" w:fill="FFFFFF"/>
        <w:ind w:left="567" w:hanging="0"/>
        <w:rPr>
          <w:b/>
          <w:sz w:val="22"/>
          <w:szCs w:val="22"/>
        </w:rPr>
      </w:pPr>
      <w:r>
        <w:rPr>
          <w:b/>
          <w:sz w:val="22"/>
          <w:szCs w:val="22"/>
        </w:rPr>
      </w:r>
    </w:p>
    <w:p>
      <w:pPr>
        <w:pStyle w:val="ListParagraph"/>
        <w:numPr>
          <w:ilvl w:val="1"/>
          <w:numId w:val="14"/>
        </w:numPr>
        <w:tabs>
          <w:tab w:val="clear" w:pos="720"/>
          <w:tab w:val="left" w:pos="993" w:leader="none"/>
        </w:tabs>
        <w:spacing w:before="0" w:after="0"/>
        <w:ind w:left="0" w:firstLine="567"/>
        <w:contextualSpacing w:val="false"/>
        <w:jc w:val="both"/>
        <w:rPr>
          <w:shd w:fill="FFFFFF" w:val="clear"/>
        </w:rPr>
      </w:pPr>
      <w:r>
        <w:rPr>
          <w:sz w:val="22"/>
          <w:szCs w:val="22"/>
          <w:shd w:fill="FFFFFF" w:val="clear"/>
        </w:rPr>
        <w:t>Поставка Продукции по Договору осуществляется Поставщиком, согласно п. 1.2 Договора, в Место поставки согласно п. 1.4. Договора. Доставка Продукции осуществляется Поставщиком.</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Поставщик обязан уведомить Покупателя о дате поставки Продукции не позднее, чем за 2 (Два) календарных дня до даты поставки.</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 xml:space="preserve">Право собственности на Продукцию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и датой перехода риска случайной гибели или повреждения Продукции считается дата подписания Покупателем Товарной накладной по форме ТОРГ-12 или УПД.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Поставщик несет ответственность за получение (если это необходимо) разрешений и лицензий властей на транспортировку Продукции в Место поставки и иных необходимых документов. </w:t>
      </w:r>
    </w:p>
    <w:p>
      <w:pPr>
        <w:pStyle w:val="Normal"/>
        <w:widowControl w:val="false"/>
        <w:shd w:val="clear" w:color="auto" w:fill="FFFFFF"/>
        <w:tabs>
          <w:tab w:val="clear" w:pos="720"/>
          <w:tab w:val="left" w:pos="1276" w:leader="none"/>
        </w:tabs>
        <w:ind w:firstLine="567"/>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contextualSpacing/>
        <w:jc w:val="center"/>
        <w:rPr>
          <w:b/>
          <w:sz w:val="22"/>
          <w:szCs w:val="22"/>
        </w:rPr>
      </w:pPr>
      <w:r>
        <w:rPr>
          <w:b/>
          <w:sz w:val="22"/>
          <w:szCs w:val="22"/>
        </w:rPr>
        <w:t>Ответственность по Договору</w:t>
      </w:r>
    </w:p>
    <w:p>
      <w:pPr>
        <w:pStyle w:val="Normal"/>
        <w:widowControl w:val="false"/>
        <w:shd w:val="clear" w:color="auto" w:fill="FFFFFF"/>
        <w:tabs>
          <w:tab w:val="clear" w:pos="720"/>
          <w:tab w:val="left" w:pos="5321" w:leader="none"/>
        </w:tabs>
        <w:spacing w:before="0" w:after="0"/>
        <w:ind w:left="360" w:hanging="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ListParagraph"/>
        <w:numPr>
          <w:ilvl w:val="1"/>
          <w:numId w:val="17"/>
        </w:numPr>
        <w:shd w:val="clear" w:color="auto" w:fill="FFFFFF"/>
        <w:tabs>
          <w:tab w:val="clear" w:pos="720"/>
          <w:tab w:val="left" w:pos="1276" w:leader="none"/>
        </w:tabs>
        <w:ind w:left="0" w:firstLine="567"/>
        <w:jc w:val="both"/>
        <w:rPr>
          <w:sz w:val="22"/>
          <w:szCs w:val="22"/>
        </w:rPr>
      </w:pPr>
      <w:r>
        <w:rPr>
          <w:sz w:val="22"/>
          <w:szCs w:val="22"/>
        </w:rPr>
        <w:t>В          случае нарушения Поставщиком обязательств по поставке Продукции (нарушение срока поставки, недопоставка), а также несвоевременного устранения выявленных недостатков Продукции, Покупатель вправе потребовать уплаты Поставщиком:</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цены Договора за каждый день просрочки поставки Продукции;</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pPr>
        <w:pStyle w:val="ListParagraph"/>
        <w:numPr>
          <w:ilvl w:val="1"/>
          <w:numId w:val="17"/>
        </w:numPr>
        <w:shd w:val="clear" w:color="auto" w:fill="FFFFFF"/>
        <w:tabs>
          <w:tab w:val="clear" w:pos="720"/>
          <w:tab w:val="left" w:pos="993" w:leader="none"/>
        </w:tabs>
        <w:ind w:left="0" w:firstLine="567"/>
        <w:jc w:val="both"/>
        <w:rPr>
          <w:sz w:val="22"/>
          <w:szCs w:val="22"/>
        </w:rPr>
      </w:pPr>
      <w:r>
        <w:rPr>
          <w:sz w:val="22"/>
          <w:szCs w:val="22"/>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17"/>
        </w:numPr>
        <w:shd w:val="clear" w:color="auto" w:fill="FFFFFF"/>
        <w:ind w:left="0" w:firstLine="567"/>
        <w:jc w:val="both"/>
        <w:rPr>
          <w:sz w:val="22"/>
          <w:szCs w:val="22"/>
        </w:rPr>
      </w:pPr>
      <w:r>
        <w:rPr>
          <w:sz w:val="22"/>
          <w:szCs w:val="22"/>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7"/>
        </w:numPr>
        <w:shd w:val="clear" w:color="auto" w:fill="FFFFFF"/>
        <w:tabs>
          <w:tab w:val="clear" w:pos="720"/>
          <w:tab w:val="left" w:pos="567" w:leader="none"/>
        </w:tabs>
        <w:spacing w:before="0" w:after="0"/>
        <w:ind w:left="0" w:firstLine="560"/>
        <w:contextualSpacing/>
        <w:jc w:val="both"/>
        <w:rPr>
          <w:sz w:val="22"/>
          <w:szCs w:val="22"/>
        </w:rPr>
      </w:pPr>
      <w:r>
        <w:rPr>
          <w:sz w:val="22"/>
          <w:szCs w:val="22"/>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851" w:leader="none"/>
        </w:tabs>
        <w:spacing w:before="0" w:after="0"/>
        <w:ind w:left="0" w:firstLine="567"/>
        <w:contextualSpacing/>
        <w:jc w:val="both"/>
        <w:rPr>
          <w:sz w:val="22"/>
          <w:szCs w:val="22"/>
        </w:rPr>
      </w:pPr>
      <w:r>
        <w:rPr>
          <w:sz w:val="22"/>
          <w:szCs w:val="22"/>
        </w:rPr>
        <w:t>В случае, 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счета-фактуры/УПД,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 w:val="left" w:pos="1276" w:leader="none"/>
        </w:tabs>
        <w:spacing w:before="0" w:after="0"/>
        <w:ind w:left="0" w:firstLine="567"/>
        <w:contextualSpacing/>
        <w:jc w:val="both"/>
        <w:outlineLvl w:val="0"/>
        <w:rPr>
          <w:sz w:val="22"/>
          <w:szCs w:val="22"/>
        </w:rPr>
      </w:pPr>
      <w:r>
        <w:rPr>
          <w:sz w:val="22"/>
          <w:szCs w:val="22"/>
        </w:rPr>
        <w:t>выписка из Единого государственного реестра юридических лиц, после изменений, указанных в п. 6.13 Договора, а также:</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акционерных обществ:</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владельцев ценных бумаг;</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аффилированных лиц на последнюю отчетную дату;</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ежеквартальный отчет на последнюю отчетную дату.</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(протокол) о приеме новых участников;</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устав.</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учредительный договор или положение;</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документ о выборе (назначении) попечительского совета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 xml:space="preserve">решение и договор о создании.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созданных и действующих в соответствии с законодательством иностранных государств:</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выписка из торгового реестра страны инкорпорации;</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Независимо от любых других положений Договора в случае не предоставления в установленный срок Поставщиком документов, указанных в п. 6.13 Договора Покупатель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Поставщиком уведомления о расторжении Договора, но в любом случае – не позднее 10 (Десяти) рабочих дней с даты его отправки Покупателем.</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Во избежание сомнений и независимо от иных положений Договора Поставщик настоящим также отказывается от любых прав требования возмещения убытков или ущерба, возникшего у Поставщика в связи с расторжением Договора по основаниям, указанным в п. 6.14 Договора выше.</w:t>
      </w:r>
    </w:p>
    <w:p>
      <w:pPr>
        <w:pStyle w:val="ListParagraph"/>
        <w:widowControl/>
        <w:numPr>
          <w:ilvl w:val="1"/>
          <w:numId w:val="17"/>
        </w:numPr>
        <w:shd w:val="clear" w:color="auto" w:fill="FFFFFF"/>
        <w:tabs>
          <w:tab w:val="clear" w:pos="720"/>
          <w:tab w:val="left" w:pos="1134" w:leader="none"/>
        </w:tabs>
        <w:ind w:left="0" w:firstLine="567"/>
        <w:jc w:val="both"/>
        <w:rPr>
          <w:bCs/>
          <w:color w:val="000000"/>
          <w:sz w:val="22"/>
          <w:szCs w:val="22"/>
        </w:rPr>
      </w:pPr>
      <w:r>
        <w:rPr>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 w:val="left" w:pos="1134" w:leader="none"/>
        </w:tabs>
        <w:spacing w:before="0" w:after="0"/>
        <w:ind w:firstLine="567"/>
        <w:contextualSpacing/>
        <w:jc w:val="both"/>
        <w:rPr>
          <w:color w:val="000000"/>
          <w:sz w:val="22"/>
          <w:szCs w:val="22"/>
        </w:rPr>
      </w:pPr>
      <w:r>
        <w:rPr>
          <w:color w:val="000000"/>
          <w:sz w:val="22"/>
          <w:szCs w:val="22"/>
        </w:rPr>
        <w:t xml:space="preserve">Каналы связи Линия доверия Группы РусГидро: </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-Электронная почта: ld@rushydro.ru.</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1"/>
          <w:numId w:val="17"/>
        </w:numPr>
        <w:tabs>
          <w:tab w:val="clear" w:pos="720"/>
          <w:tab w:val="left" w:pos="1276" w:leader="none"/>
        </w:tabs>
        <w:ind w:left="0" w:firstLine="567"/>
        <w:jc w:val="both"/>
        <w:rPr>
          <w:bCs/>
          <w:sz w:val="22"/>
          <w:szCs w:val="22"/>
        </w:rPr>
      </w:pPr>
      <w:r>
        <w:rPr>
          <w:bCs/>
          <w:sz w:val="22"/>
          <w:szCs w:val="22"/>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bCs/>
          <w:sz w:val="22"/>
          <w:szCs w:val="22"/>
        </w:rPr>
      </w:pPr>
      <w:r>
        <w:rPr>
          <w:bCs/>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2"/>
          <w:szCs w:val="22"/>
        </w:rPr>
        <w:t xml:space="preserve"> </w:t>
      </w:r>
      <w:r>
        <w:rPr>
          <w:bCs/>
          <w:sz w:val="22"/>
          <w:szCs w:val="22"/>
        </w:rPr>
        <w:t>сумма неустойки, подлежащая уплате виновной Стороной, определяется на основании решения суда.</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1276" w:leader="none"/>
          <w:tab w:val="left" w:pos="5321" w:leader="none"/>
        </w:tabs>
        <w:spacing w:before="0" w:after="0"/>
        <w:ind w:left="0" w:hanging="0"/>
        <w:contextualSpacing/>
        <w:jc w:val="center"/>
        <w:rPr>
          <w:b/>
          <w:bCs/>
          <w:sz w:val="22"/>
          <w:szCs w:val="22"/>
        </w:rPr>
      </w:pPr>
      <w:r>
        <w:rPr>
          <w:b/>
          <w:bCs/>
          <w:sz w:val="22"/>
          <w:szCs w:val="22"/>
        </w:rPr>
        <w:t>Особые положения</w:t>
      </w:r>
    </w:p>
    <w:p>
      <w:pPr>
        <w:pStyle w:val="Normal"/>
        <w:widowControl w:val="false"/>
        <w:shd w:val="clear" w:color="auto" w:fill="FFFFFF"/>
        <w:tabs>
          <w:tab w:val="clear" w:pos="720"/>
          <w:tab w:val="left" w:pos="1276" w:leader="none"/>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2"/>
            <w:szCs w:val="22"/>
          </w:rPr>
          <w:t>№ 18162/09</w:t>
        </w:r>
      </w:hyperlink>
      <w:r>
        <w:rPr>
          <w:sz w:val="22"/>
          <w:szCs w:val="22"/>
        </w:rPr>
        <w:t xml:space="preserve"> и от 25.05.2010 </w:t>
      </w:r>
      <w:hyperlink r:id="rId3">
        <w:r>
          <w:rPr>
            <w:sz w:val="22"/>
            <w:szCs w:val="22"/>
          </w:rPr>
          <w:t>№ 15658/09</w:t>
        </w:r>
      </w:hyperlink>
      <w:r>
        <w:rPr>
          <w:sz w:val="22"/>
          <w:szCs w:val="22"/>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2"/>
            <w:szCs w:val="22"/>
          </w:rPr>
          <w:t>Критери</w:t>
        </w:r>
      </w:hyperlink>
      <w:r>
        <w:rPr>
          <w:sz w:val="22"/>
          <w:szCs w:val="22"/>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В случае нарушения Поставщиком обязательств, установленных в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7.2 Договора, сверх суммы штрафа.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Независимо от других положений Договора, обязательства Поставщика по п. 7.3-7.5 Договора продолжают действовать в течение 4 (четырех) лет после окончания срока действия Договора.</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 xml:space="preserve"> </w:t>
      </w:r>
    </w:p>
    <w:p>
      <w:pPr>
        <w:pStyle w:val="ListParagraph"/>
        <w:numPr>
          <w:ilvl w:val="0"/>
          <w:numId w:val="17"/>
        </w:numPr>
        <w:shd w:val="clear" w:color="auto" w:fill="FFFFFF"/>
        <w:tabs>
          <w:tab w:val="clear" w:pos="720"/>
          <w:tab w:val="left" w:pos="1276" w:leader="none"/>
        </w:tabs>
        <w:jc w:val="center"/>
        <w:rPr>
          <w:b/>
          <w:bCs/>
          <w:sz w:val="22"/>
          <w:szCs w:val="22"/>
        </w:rPr>
      </w:pPr>
      <w:r>
        <w:rPr>
          <w:b/>
          <w:sz w:val="22"/>
          <w:szCs w:val="22"/>
        </w:rPr>
        <w:t>Форс</w:t>
      </w:r>
      <w:r>
        <w:rPr>
          <w:b/>
          <w:bCs/>
          <w:sz w:val="22"/>
          <w:szCs w:val="22"/>
        </w:rPr>
        <w:t>-мажор</w:t>
      </w:r>
    </w:p>
    <w:p>
      <w:pPr>
        <w:pStyle w:val="ListParagraph"/>
        <w:shd w:val="clear" w:color="auto" w:fill="FFFFFF"/>
        <w:tabs>
          <w:tab w:val="clear" w:pos="720"/>
          <w:tab w:val="left" w:pos="1276" w:leader="none"/>
        </w:tabs>
        <w:ind w:left="360" w:hanging="0"/>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sz w:val="22"/>
          <w:szCs w:val="22"/>
        </w:rPr>
        <w:t>Конфиденциальность</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финансовую отчетность;</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учетные регистры бухгалтерского учета;</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бизнес-планы;</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t xml:space="preserve"> </w:t>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Инсайдерская оговорка</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также обязуется:</w:t>
      </w:r>
    </w:p>
    <w:p>
      <w:pPr>
        <w:pStyle w:val="ListParagraph"/>
        <w:numPr>
          <w:ilvl w:val="2"/>
          <w:numId w:val="17"/>
        </w:numPr>
        <w:shd w:val="clear" w:color="auto" w:fill="FFFFFF"/>
        <w:ind w:left="0" w:firstLine="567"/>
        <w:jc w:val="both"/>
        <w:rPr>
          <w:sz w:val="22"/>
          <w:szCs w:val="22"/>
        </w:rPr>
      </w:pPr>
      <w:r>
        <w:rPr>
          <w:sz w:val="22"/>
          <w:szCs w:val="22"/>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ind w:left="0" w:firstLine="567"/>
        <w:jc w:val="both"/>
        <w:rPr>
          <w:sz w:val="22"/>
          <w:szCs w:val="22"/>
        </w:rPr>
      </w:pPr>
      <w:r>
        <w:rPr>
          <w:sz w:val="22"/>
          <w:szCs w:val="22"/>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2160" w:leader="none"/>
        </w:tabs>
        <w:ind w:left="567" w:hanging="0"/>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Разрешение споров</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4" w:name="Par2"/>
      <w:bookmarkEnd w:id="4"/>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г.Москвы.</w:t>
      </w:r>
    </w:p>
    <w:p>
      <w:pPr>
        <w:pStyle w:val="Normal"/>
        <w:widowControl w:val="false"/>
        <w:shd w:val="clear" w:color="auto" w:fill="FFFFFF"/>
        <w:tabs>
          <w:tab w:val="left" w:pos="720"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bCs/>
          <w:sz w:val="22"/>
          <w:szCs w:val="22"/>
        </w:rPr>
        <w:t>Прекращение (расторжение) Договора</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0"/>
        <w:ind w:firstLine="567"/>
        <w:contextualSpacing/>
        <w:jc w:val="both"/>
        <w:rPr>
          <w:sz w:val="22"/>
          <w:szCs w:val="22"/>
        </w:rPr>
      </w:pPr>
      <w:r>
        <w:rPr>
          <w:sz w:val="22"/>
          <w:szCs w:val="22"/>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Стороны установили, что существенным нарушением Договора Поставщиком является: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отказа Покупателя от Договора в случаях, предусмотренных пунктами 12.2., 12.3., 12.4 Договора,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считается расторгнутым по основаниям, предусмотренным пунктом 12.1, с даты, указанной в уведомлении о расторжении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 даты прекращения (расторжения) Договора Поставщик обязан прекратить поставку Продукции.</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widowControl w:val="false"/>
        <w:shd w:val="clear" w:color="auto" w:fill="FFFFFF"/>
        <w:tabs>
          <w:tab w:val="clear" w:pos="720"/>
          <w:tab w:val="left" w:pos="1636" w:leader="none"/>
        </w:tabs>
        <w:spacing w:before="0" w:after="0"/>
        <w:ind w:left="567" w:hanging="0"/>
        <w:contextualSpacing/>
        <w:jc w:val="both"/>
        <w:rPr>
          <w:sz w:val="22"/>
          <w:szCs w:val="22"/>
        </w:rPr>
      </w:pPr>
      <w:r>
        <w:rPr>
          <w:sz w:val="22"/>
          <w:szCs w:val="22"/>
        </w:rPr>
      </w:r>
    </w:p>
    <w:p>
      <w:pPr>
        <w:pStyle w:val="ListParagraph"/>
        <w:shd w:val="clear" w:color="auto" w:fill="FFFFFF"/>
        <w:ind w:left="360" w:hanging="0"/>
        <w:jc w:val="center"/>
        <w:rPr>
          <w:b/>
          <w:sz w:val="22"/>
          <w:szCs w:val="22"/>
        </w:rPr>
      </w:pPr>
      <w:r>
        <w:rPr>
          <w:b/>
          <w:bCs/>
          <w:sz w:val="22"/>
          <w:szCs w:val="22"/>
        </w:rPr>
        <w:t>13. Заверения</w:t>
      </w:r>
      <w:r>
        <w:rPr>
          <w:b/>
          <w:sz w:val="22"/>
          <w:szCs w:val="22"/>
        </w:rPr>
        <w:t xml:space="preserve"> Сторон</w:t>
      </w:r>
    </w:p>
    <w:p>
      <w:pPr>
        <w:pStyle w:val="ListParagraph"/>
        <w:shd w:val="clear" w:color="auto" w:fill="FFFFFF"/>
        <w:ind w:left="360" w:hanging="0"/>
        <w:jc w:val="center"/>
        <w:rPr>
          <w:b/>
          <w:sz w:val="22"/>
          <w:szCs w:val="22"/>
        </w:rPr>
      </w:pPr>
      <w:r>
        <w:rPr>
          <w:b/>
          <w:sz w:val="22"/>
          <w:szCs w:val="22"/>
        </w:rPr>
      </w:r>
    </w:p>
    <w:p>
      <w:pPr>
        <w:pStyle w:val="Normal"/>
        <w:shd w:val="clear" w:color="auto" w:fill="FFFFFF"/>
        <w:tabs>
          <w:tab w:val="clear" w:pos="720"/>
          <w:tab w:val="left" w:pos="1134" w:leader="none"/>
        </w:tabs>
        <w:ind w:firstLine="567"/>
        <w:jc w:val="both"/>
        <w:rPr>
          <w:sz w:val="22"/>
          <w:szCs w:val="22"/>
        </w:rPr>
      </w:pPr>
      <w:r>
        <w:rPr>
          <w:bCs/>
          <w:sz w:val="22"/>
          <w:szCs w:val="22"/>
        </w:rPr>
        <w:t>13.1.  Каждая</w:t>
      </w:r>
      <w:r>
        <w:rPr>
          <w:sz w:val="22"/>
          <w:szCs w:val="22"/>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shd w:val="clear" w:color="auto" w:fill="FFFFFF"/>
        <w:tabs>
          <w:tab w:val="clear" w:pos="720"/>
          <w:tab w:val="left" w:pos="1134" w:leader="none"/>
        </w:tabs>
        <w:ind w:firstLine="567"/>
        <w:jc w:val="both"/>
        <w:rPr>
          <w:sz w:val="22"/>
          <w:szCs w:val="22"/>
        </w:rPr>
      </w:pPr>
      <w:r>
        <w:rPr>
          <w:sz w:val="22"/>
          <w:szCs w:val="22"/>
        </w:rPr>
        <w:t>13.2. 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shd w:val="clear" w:color="auto" w:fill="FFFFFF"/>
        <w:tabs>
          <w:tab w:val="clear" w:pos="720"/>
          <w:tab w:val="left" w:pos="1134" w:leader="none"/>
        </w:tabs>
        <w:ind w:firstLine="567"/>
        <w:jc w:val="both"/>
        <w:rPr>
          <w:sz w:val="22"/>
          <w:szCs w:val="22"/>
        </w:rPr>
      </w:pPr>
      <w:r>
        <w:rPr>
          <w:sz w:val="22"/>
          <w:szCs w:val="22"/>
        </w:rPr>
        <w:t xml:space="preserve">13.3. 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shd w:val="clear" w:color="auto" w:fill="FFFFFF"/>
        <w:tabs>
          <w:tab w:val="clear" w:pos="720"/>
          <w:tab w:val="left" w:pos="1134" w:leader="none"/>
        </w:tabs>
        <w:ind w:firstLine="567"/>
        <w:jc w:val="both"/>
        <w:rPr>
          <w:sz w:val="22"/>
          <w:szCs w:val="22"/>
        </w:rPr>
      </w:pPr>
      <w:r>
        <w:rPr>
          <w:sz w:val="22"/>
          <w:szCs w:val="22"/>
        </w:rPr>
        <w:t xml:space="preserve">13.4. В случае, если при заключении Договора Поставщик предоставил </w:t>
      </w:r>
      <w:r>
        <w:rPr>
          <w:bCs/>
          <w:sz w:val="22"/>
          <w:szCs w:val="22"/>
        </w:rPr>
        <w:t>Покупателю</w:t>
      </w:r>
      <w:r>
        <w:rPr>
          <w:sz w:val="22"/>
          <w:szCs w:val="22"/>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2"/>
          <w:szCs w:val="22"/>
        </w:rPr>
        <w:t xml:space="preserve">Поставщик </w:t>
      </w:r>
      <w:r>
        <w:rPr>
          <w:sz w:val="22"/>
          <w:szCs w:val="22"/>
        </w:rPr>
        <w:t xml:space="preserve">обязан по требованию </w:t>
      </w:r>
      <w:r>
        <w:rPr>
          <w:bCs/>
          <w:sz w:val="22"/>
          <w:szCs w:val="22"/>
        </w:rPr>
        <w:t>Покупателя</w:t>
      </w:r>
      <w:r>
        <w:rPr>
          <w:sz w:val="22"/>
          <w:szCs w:val="22"/>
        </w:rPr>
        <w:t xml:space="preserve"> уплатить последнему неустойку в размере 5 (пять) % от Цены Договора, указанной в пункте 2.1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r>
    </w:p>
    <w:p>
      <w:pPr>
        <w:pStyle w:val="ListParagraph"/>
        <w:numPr>
          <w:ilvl w:val="0"/>
          <w:numId w:val="16"/>
        </w:numPr>
        <w:shd w:val="clear" w:color="auto" w:fill="FFFFFF"/>
        <w:jc w:val="center"/>
        <w:rPr>
          <w:b/>
          <w:sz w:val="22"/>
          <w:szCs w:val="22"/>
        </w:rPr>
      </w:pPr>
      <w:r>
        <w:rPr>
          <w:b/>
          <w:sz w:val="22"/>
          <w:szCs w:val="22"/>
        </w:rPr>
        <w:t>Заключительные положения</w:t>
      </w:r>
    </w:p>
    <w:p>
      <w:pPr>
        <w:pStyle w:val="ListParagraph"/>
        <w:shd w:val="clear" w:color="auto" w:fill="FFFFFF"/>
        <w:ind w:left="480" w:hanging="0"/>
        <w:rPr>
          <w:b/>
          <w:sz w:val="22"/>
          <w:szCs w:val="22"/>
        </w:rPr>
      </w:pPr>
      <w:r>
        <w:rPr>
          <w:b/>
          <w:sz w:val="22"/>
          <w:szCs w:val="22"/>
        </w:rPr>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Документ</w:t>
      </w:r>
      <w:r>
        <w:rPr>
          <w:bCs/>
          <w:sz w:val="22"/>
          <w:szCs w:val="22"/>
        </w:rPr>
        <w:t xml:space="preserve"> будет считаться полученным:</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 xml:space="preserve"> </w:t>
      </w:r>
      <w:r>
        <w:rPr>
          <w:sz w:val="22"/>
          <w:szCs w:val="22"/>
        </w:rPr>
        <w:t>Договор</w:t>
      </w:r>
      <w:r>
        <w:rPr>
          <w:bCs/>
          <w:sz w:val="22"/>
          <w:szCs w:val="22"/>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ind w:left="567" w:hanging="0"/>
        <w:jc w:val="both"/>
        <w:rPr>
          <w:bCs/>
          <w:sz w:val="22"/>
          <w:szCs w:val="22"/>
        </w:rPr>
      </w:pPr>
      <w:r>
        <w:rPr>
          <w:bCs/>
          <w:sz w:val="22"/>
          <w:szCs w:val="22"/>
        </w:rPr>
      </w:r>
    </w:p>
    <w:p>
      <w:pPr>
        <w:pStyle w:val="Normal"/>
        <w:widowControl w:val="false"/>
        <w:numPr>
          <w:ilvl w:val="0"/>
          <w:numId w:val="18"/>
        </w:numPr>
        <w:shd w:val="clear" w:color="auto" w:fill="FFFFFF"/>
        <w:jc w:val="center"/>
        <w:rPr>
          <w:b/>
          <w:sz w:val="22"/>
          <w:szCs w:val="22"/>
        </w:rPr>
      </w:pPr>
      <w:r>
        <w:rPr>
          <w:b/>
          <w:sz w:val="22"/>
          <w:szCs w:val="22"/>
        </w:rPr>
        <w:t>Приложения к Договору</w:t>
      </w:r>
    </w:p>
    <w:p>
      <w:pPr>
        <w:pStyle w:val="Normal"/>
        <w:widowControl w:val="false"/>
        <w:shd w:val="clear" w:color="auto" w:fill="FFFFFF"/>
        <w:ind w:left="567" w:hanging="0"/>
        <w:rPr>
          <w:b/>
          <w:sz w:val="22"/>
          <w:szCs w:val="22"/>
        </w:rPr>
      </w:pPr>
      <w:r>
        <w:rPr>
          <w:b/>
          <w:sz w:val="22"/>
          <w:szCs w:val="22"/>
        </w:rPr>
      </w:r>
    </w:p>
    <w:p>
      <w:pPr>
        <w:pStyle w:val="Heading3"/>
        <w:keepNext w:val="false"/>
        <w:tabs>
          <w:tab w:val="clear" w:pos="0"/>
        </w:tabs>
        <w:ind w:firstLine="567"/>
        <w:jc w:val="both"/>
        <w:textAlignment w:val="baseline"/>
        <w:rPr>
          <w:b w:val="false"/>
          <w:sz w:val="22"/>
          <w:szCs w:val="22"/>
        </w:rPr>
      </w:pPr>
      <w:r>
        <w:rPr>
          <w:b w:val="false"/>
          <w:sz w:val="22"/>
          <w:szCs w:val="22"/>
        </w:rPr>
        <w:t>15.1. Приложение № 1 – Спецификация № 1.</w:t>
      </w:r>
    </w:p>
    <w:p>
      <w:pPr>
        <w:pStyle w:val="Heading3"/>
        <w:keepNext w:val="false"/>
        <w:tabs>
          <w:tab w:val="clear" w:pos="0"/>
        </w:tabs>
        <w:ind w:firstLine="567"/>
        <w:jc w:val="both"/>
        <w:textAlignment w:val="baseline"/>
        <w:rPr>
          <w:b w:val="false"/>
          <w:sz w:val="22"/>
          <w:szCs w:val="22"/>
        </w:rPr>
      </w:pPr>
      <w:r>
        <w:rPr>
          <w:b w:val="false"/>
          <w:sz w:val="22"/>
          <w:szCs w:val="22"/>
        </w:rPr>
        <w:t>15.2.  Приложение № 2 – Технические требования.</w:t>
      </w:r>
    </w:p>
    <w:p>
      <w:pPr>
        <w:pStyle w:val="Normal"/>
        <w:ind w:firstLine="567"/>
        <w:rPr>
          <w:sz w:val="22"/>
          <w:szCs w:val="22"/>
        </w:rPr>
      </w:pPr>
      <w:r>
        <w:rPr>
          <w:sz w:val="22"/>
          <w:szCs w:val="22"/>
        </w:rPr>
      </w:r>
      <w:bookmarkStart w:id="5" w:name="sub_1"/>
      <w:bookmarkStart w:id="6" w:name="sub_1"/>
      <w:bookmarkEnd w:id="6"/>
    </w:p>
    <w:p>
      <w:pPr>
        <w:pStyle w:val="Normal"/>
        <w:widowControl w:val="false"/>
        <w:numPr>
          <w:ilvl w:val="0"/>
          <w:numId w:val="18"/>
        </w:numPr>
        <w:shd w:val="clear" w:color="auto" w:fill="FFFFFF"/>
        <w:ind w:left="0" w:hanging="0"/>
        <w:jc w:val="center"/>
        <w:rPr>
          <w:b/>
          <w:sz w:val="22"/>
          <w:szCs w:val="22"/>
        </w:rPr>
      </w:pPr>
      <w:r>
        <w:rPr>
          <w:b/>
          <w:sz w:val="22"/>
          <w:szCs w:val="22"/>
        </w:rPr>
        <w:t xml:space="preserve">Адреса, реквизиты и подписи Сторон </w:t>
      </w:r>
    </w:p>
    <w:p>
      <w:pPr>
        <w:pStyle w:val="Normal"/>
        <w:widowControl w:val="false"/>
        <w:shd w:val="clear" w:color="auto" w:fill="FFFFFF"/>
        <w:ind w:left="567" w:hanging="0"/>
        <w:rPr>
          <w:b/>
          <w:sz w:val="22"/>
          <w:szCs w:val="22"/>
        </w:rPr>
      </w:pPr>
      <w:r>
        <w:rPr>
          <w:b/>
          <w:sz w:val="22"/>
          <w:szCs w:val="22"/>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78"/>
        <w:gridCol w:w="5102"/>
      </w:tblGrid>
      <w:tr>
        <w:trPr/>
        <w:tc>
          <w:tcPr>
            <w:tcW w:w="4678" w:type="dxa"/>
            <w:tcBorders/>
          </w:tcPr>
          <w:p>
            <w:pPr>
              <w:pStyle w:val="Normal"/>
              <w:widowControl w:val="false"/>
              <w:rPr>
                <w:b/>
                <w:sz w:val="22"/>
                <w:szCs w:val="22"/>
                <w:u w:val="single"/>
              </w:rPr>
            </w:pPr>
            <w:r>
              <w:rPr>
                <w:b/>
                <w:sz w:val="22"/>
                <w:szCs w:val="22"/>
                <w:u w:val="single"/>
              </w:rPr>
              <w:t>Покупатель:</w:t>
            </w:r>
          </w:p>
        </w:tc>
        <w:tc>
          <w:tcPr>
            <w:tcW w:w="5102" w:type="dxa"/>
            <w:tcBorders/>
          </w:tcPr>
          <w:p>
            <w:pPr>
              <w:pStyle w:val="Normal"/>
              <w:widowControl w:val="false"/>
              <w:rPr>
                <w:b/>
                <w:sz w:val="22"/>
                <w:szCs w:val="22"/>
                <w:u w:val="single"/>
              </w:rPr>
            </w:pPr>
            <w:r>
              <w:rPr>
                <w:b/>
                <w:sz w:val="22"/>
                <w:szCs w:val="22"/>
                <w:u w:val="single"/>
              </w:rPr>
              <w:t>Поставщик:</w:t>
            </w:r>
          </w:p>
        </w:tc>
      </w:tr>
      <w:tr>
        <w:trPr/>
        <w:tc>
          <w:tcPr>
            <w:tcW w:w="4678" w:type="dxa"/>
            <w:tcBorders/>
          </w:tcPr>
          <w:p>
            <w:pPr>
              <w:pStyle w:val="Normal"/>
              <w:widowControl w:val="false"/>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ind w:firstLine="567"/>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b/>
                <w:sz w:val="22"/>
                <w:szCs w:val="22"/>
              </w:rPr>
              <w:t>_______________</w:t>
            </w:r>
          </w:p>
        </w:tc>
        <w:tc>
          <w:tcPr>
            <w:tcW w:w="5102" w:type="dxa"/>
            <w:tcBorders/>
          </w:tcPr>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Cs/>
                <w:sz w:val="22"/>
                <w:szCs w:val="22"/>
              </w:rPr>
            </w:pPr>
            <w:r>
              <w:rPr>
                <w:bCs/>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 </w:t>
            </w:r>
          </w:p>
          <w:p>
            <w:pPr>
              <w:pStyle w:val="Normal"/>
              <w:widowControl w:val="false"/>
              <w:rPr>
                <w:sz w:val="22"/>
                <w:szCs w:val="22"/>
              </w:rPr>
            </w:pPr>
            <w:r>
              <w:rPr>
                <w:sz w:val="22"/>
                <w:szCs w:val="22"/>
              </w:rPr>
              <w:t xml:space="preserve"> </w:t>
            </w:r>
          </w:p>
        </w:tc>
      </w:tr>
      <w:tr>
        <w:trPr>
          <w:trHeight w:val="80" w:hRule="atLeast"/>
        </w:trPr>
        <w:tc>
          <w:tcPr>
            <w:tcW w:w="4678" w:type="dxa"/>
            <w:tcBorders/>
          </w:tcPr>
          <w:p>
            <w:pPr>
              <w:pStyle w:val="Normal"/>
              <w:widowControl w:val="false"/>
              <w:ind w:firstLine="567"/>
              <w:rPr>
                <w:sz w:val="22"/>
                <w:szCs w:val="22"/>
              </w:rPr>
            </w:pPr>
            <w:r>
              <w:rPr>
                <w:sz w:val="22"/>
                <w:szCs w:val="22"/>
              </w:rPr>
            </w:r>
          </w:p>
        </w:tc>
        <w:tc>
          <w:tcPr>
            <w:tcW w:w="5102" w:type="dxa"/>
            <w:tcBorders/>
          </w:tcPr>
          <w:p>
            <w:pPr>
              <w:pStyle w:val="Normal"/>
              <w:widowControl w:val="false"/>
              <w:ind w:firstLine="567"/>
              <w:rPr>
                <w:sz w:val="22"/>
                <w:szCs w:val="22"/>
              </w:rPr>
            </w:pPr>
            <w:r>
              <w:rPr>
                <w:sz w:val="22"/>
                <w:szCs w:val="22"/>
              </w:rPr>
            </w:r>
          </w:p>
        </w:tc>
      </w:tr>
    </w:tbl>
    <w:p>
      <w:pPr>
        <w:sectPr>
          <w:headerReference w:type="default" r:id="rId5"/>
          <w:footerReference w:type="even" r:id="rId6"/>
          <w:footerReference w:type="default" r:id="rId7"/>
          <w:footerReference w:type="first" r:id="rId8"/>
          <w:footnotePr>
            <w:numFmt w:val="decimal"/>
          </w:footnotePr>
          <w:type w:val="nextPage"/>
          <w:pgSz w:w="11906" w:h="16838"/>
          <w:pgMar w:left="1276" w:right="851" w:gutter="0" w:header="720" w:top="777" w:footer="720" w:bottom="777"/>
          <w:pgNumType w:fmt="decimal"/>
          <w:formProt w:val="false"/>
          <w:textDirection w:val="lrTb"/>
          <w:docGrid w:type="default" w:linePitch="272" w:charSpace="24576"/>
        </w:sectPr>
      </w:pPr>
    </w:p>
    <w:tbl>
      <w:tblPr>
        <w:tblpPr w:bottomFromText="0" w:horzAnchor="margin" w:leftFromText="180" w:rightFromText="180" w:tblpX="0" w:tblpY="225" w:topFromText="0" w:vertAnchor="text"/>
        <w:tblW w:w="98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069"/>
        <w:gridCol w:w="4786"/>
      </w:tblGrid>
      <w:tr>
        <w:trPr/>
        <w:tc>
          <w:tcPr>
            <w:tcW w:w="5069" w:type="dxa"/>
            <w:tcBorders/>
            <w:shd w:color="auto" w:fill="FFFFFF" w:themeFill="background1" w:val="clear"/>
          </w:tcPr>
          <w:p>
            <w:pPr>
              <w:pStyle w:val="Normal"/>
              <w:widowControl w:val="false"/>
              <w:rPr>
                <w:szCs w:val="22"/>
              </w:rPr>
            </w:pPr>
            <w:r>
              <w:rPr>
                <w:szCs w:val="22"/>
              </w:rPr>
            </w:r>
          </w:p>
        </w:tc>
        <w:tc>
          <w:tcPr>
            <w:tcW w:w="4786" w:type="dxa"/>
            <w:tcBorders/>
            <w:shd w:color="auto" w:fill="FFFFFF" w:themeFill="background1" w:val="clear"/>
          </w:tcPr>
          <w:p>
            <w:pPr>
              <w:pStyle w:val="Style18"/>
              <w:widowControl w:val="false"/>
              <w:spacing w:lineRule="auto" w:line="240" w:before="0" w:after="0"/>
              <w:jc w:val="left"/>
              <w:rPr>
                <w:rFonts w:ascii="Times New Roman" w:hAnsi="Times New Roman"/>
                <w:szCs w:val="22"/>
                <w:lang w:val="ru-RU"/>
              </w:rPr>
            </w:pPr>
            <w:r>
              <w:rPr>
                <w:rFonts w:ascii="Times New Roman" w:hAnsi="Times New Roman"/>
                <w:szCs w:val="22"/>
                <w:lang w:val="ru-RU"/>
              </w:rPr>
            </w:r>
          </w:p>
        </w:tc>
      </w:tr>
    </w:tbl>
    <w:p>
      <w:pPr>
        <w:pStyle w:val="BodyText"/>
        <w:numPr>
          <w:ilvl w:val="0"/>
          <w:numId w:val="0"/>
        </w:numPr>
        <w:ind w:left="0" w:firstLine="567"/>
        <w:jc w:val="right"/>
        <w:outlineLvl w:val="0"/>
        <w:rPr>
          <w:bCs/>
          <w:szCs w:val="22"/>
        </w:rPr>
      </w:pPr>
      <w:r>
        <w:rPr>
          <w:bCs/>
          <w:szCs w:val="22"/>
        </w:rPr>
        <w:t>Приложение № 1</w:t>
      </w:r>
    </w:p>
    <w:p>
      <w:pPr>
        <w:pStyle w:val="BodyText"/>
        <w:ind w:firstLine="567"/>
        <w:jc w:val="right"/>
        <w:rPr>
          <w:bCs/>
          <w:szCs w:val="22"/>
        </w:rPr>
      </w:pPr>
      <w:r>
        <w:rPr>
          <w:bCs/>
          <w:szCs w:val="22"/>
        </w:rPr>
        <w:t xml:space="preserve">к договору поставки </w:t>
      </w:r>
    </w:p>
    <w:p>
      <w:pPr>
        <w:pStyle w:val="BodyText"/>
        <w:ind w:firstLine="567"/>
        <w:jc w:val="right"/>
        <w:rPr>
          <w:bCs/>
          <w:szCs w:val="22"/>
        </w:rPr>
      </w:pPr>
      <w:r>
        <w:rPr>
          <w:bCs/>
          <w:szCs w:val="22"/>
        </w:rPr>
        <w:t xml:space="preserve">№ </w:t>
      </w:r>
      <w:r>
        <w:rPr>
          <w:bCs/>
          <w:szCs w:val="22"/>
        </w:rPr>
        <w:t>_______________________ от «____» ____________ 2026 г.</w:t>
      </w:r>
    </w:p>
    <w:p>
      <w:pPr>
        <w:pStyle w:val="Normal"/>
        <w:numPr>
          <w:ilvl w:val="0"/>
          <w:numId w:val="0"/>
        </w:numPr>
        <w:ind w:left="0" w:firstLine="567"/>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bookmarkStart w:id="7" w:name="_GoBack_Копия_1"/>
      <w:bookmarkEnd w:id="7"/>
      <w:r>
        <w:rPr>
          <w:b/>
          <w:sz w:val="22"/>
          <w:szCs w:val="22"/>
        </w:rPr>
        <w:t>Спецификация № 1</w:t>
      </w:r>
    </w:p>
    <w:p>
      <w:pPr>
        <w:pStyle w:val="Normal"/>
        <w:numPr>
          <w:ilvl w:val="0"/>
          <w:numId w:val="0"/>
        </w:numPr>
        <w:ind w:left="0" w:hanging="0"/>
        <w:jc w:val="center"/>
        <w:outlineLvl w:val="0"/>
        <w:rPr>
          <w:b/>
          <w:sz w:val="22"/>
          <w:szCs w:val="22"/>
        </w:rPr>
      </w:pPr>
      <w:r>
        <w:rPr>
          <w:b/>
          <w:sz w:val="22"/>
          <w:szCs w:val="22"/>
        </w:rPr>
      </w:r>
    </w:p>
    <w:tbl>
      <w:tblPr>
        <w:tblW w:w="9901" w:type="dxa"/>
        <w:jc w:val="left"/>
        <w:tblInd w:w="-118" w:type="dxa"/>
        <w:tblLayout w:type="fixed"/>
        <w:tblCellMar>
          <w:top w:w="0" w:type="dxa"/>
          <w:left w:w="108" w:type="dxa"/>
          <w:bottom w:w="0" w:type="dxa"/>
          <w:right w:w="108" w:type="dxa"/>
        </w:tblCellMar>
        <w:tblLook w:val="04a0" w:noHBand="0" w:noVBand="1" w:firstColumn="1" w:lastRow="0" w:lastColumn="0" w:firstRow="1"/>
      </w:tblPr>
      <w:tblGrid>
        <w:gridCol w:w="681"/>
        <w:gridCol w:w="3544"/>
        <w:gridCol w:w="1418"/>
        <w:gridCol w:w="1421"/>
        <w:gridCol w:w="1436"/>
        <w:gridCol w:w="1400"/>
      </w:tblGrid>
      <w:tr>
        <w:trPr/>
        <w:tc>
          <w:tcPr>
            <w:tcW w:w="68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3544"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Наименование Продукции</w:t>
            </w:r>
          </w:p>
        </w:tc>
        <w:tc>
          <w:tcPr>
            <w:tcW w:w="14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Единица измерения</w:t>
            </w:r>
          </w:p>
        </w:tc>
        <w:tc>
          <w:tcPr>
            <w:tcW w:w="142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Количество</w:t>
            </w:r>
          </w:p>
        </w:tc>
        <w:tc>
          <w:tcPr>
            <w:tcW w:w="14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Цена одной единицы Продукции, руб.,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Итоговая стоимость позиции Продукции, руб. без НДС</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1</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3</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4</w:t>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5</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6</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1"/>
              </w:numPr>
              <w:spacing w:before="0" w:after="0"/>
              <w:contextualSpacing/>
              <w:rPr>
                <w:rFonts w:eastAsia="Calibri"/>
                <w:sz w:val="22"/>
                <w:szCs w:val="22"/>
              </w:rPr>
            </w:pPr>
            <w:r>
              <w:rPr>
                <w:rFonts w:eastAsia="Calibri"/>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50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Итого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bl>
    <w:p>
      <w:pPr>
        <w:pStyle w:val="Normal"/>
        <w:tabs>
          <w:tab w:val="clear" w:pos="720"/>
          <w:tab w:val="left" w:pos="0" w:leader="none"/>
        </w:tabs>
        <w:rPr>
          <w:sz w:val="22"/>
          <w:szCs w:val="22"/>
          <w:lang w:eastAsia="ar-SA"/>
        </w:rPr>
      </w:pPr>
      <w:r>
        <w:rPr>
          <w:sz w:val="22"/>
          <w:szCs w:val="22"/>
          <w:lang w:eastAsia="ar-SA"/>
        </w:rPr>
      </w:r>
    </w:p>
    <w:p>
      <w:pPr>
        <w:pStyle w:val="Normal"/>
        <w:ind w:firstLine="567"/>
        <w:jc w:val="both"/>
        <w:rPr>
          <w:bCs/>
          <w:sz w:val="22"/>
          <w:szCs w:val="22"/>
        </w:rPr>
      </w:pPr>
      <w:r>
        <w:rPr>
          <w:bCs/>
          <w:sz w:val="22"/>
          <w:szCs w:val="22"/>
        </w:rPr>
        <w:t>1. Общая сумма Спецификации № 1 составляет __________</w:t>
      </w:r>
      <w:r>
        <w:rPr>
          <w:sz w:val="22"/>
          <w:szCs w:val="22"/>
        </w:rPr>
        <w:t xml:space="preserve"> (_______________________) рублей 00 копеек </w:t>
      </w:r>
      <w:r>
        <w:rPr>
          <w:bCs/>
          <w:sz w:val="22"/>
          <w:szCs w:val="22"/>
        </w:rPr>
        <w:t>без учета НДС, при этом НДС исчисляется дополнительно по ставке, установленной ст. 164 Налогового кодекса РФ.</w:t>
      </w:r>
    </w:p>
    <w:p>
      <w:pPr>
        <w:pStyle w:val="Normal"/>
        <w:ind w:firstLine="567"/>
        <w:jc w:val="both"/>
        <w:rPr>
          <w:bCs/>
          <w:sz w:val="22"/>
          <w:szCs w:val="22"/>
        </w:rPr>
      </w:pPr>
      <w:r>
        <w:rPr>
          <w:bCs/>
          <w:sz w:val="22"/>
          <w:szCs w:val="22"/>
        </w:rPr>
        <w:t xml:space="preserve">2. Страна производства по ОКСМ: </w:t>
      </w:r>
    </w:p>
    <w:p>
      <w:pPr>
        <w:pStyle w:val="Normal"/>
        <w:rPr>
          <w:sz w:val="22"/>
          <w:szCs w:val="22"/>
        </w:rPr>
      </w:pPr>
      <w:r>
        <w:rPr>
          <w:sz w:val="22"/>
          <w:szCs w:val="22"/>
        </w:rPr>
      </w:r>
    </w:p>
    <w:tbl>
      <w:tblPr>
        <w:tblpPr w:bottomFromText="0" w:horzAnchor="margin" w:leftFromText="180" w:rightFromText="180" w:tblpX="0" w:tblpY="225" w:topFromText="0" w:vertAnchor="text"/>
        <w:tblW w:w="104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354"/>
        <w:gridCol w:w="5101"/>
      </w:tblGrid>
      <w:tr>
        <w:trPr/>
        <w:tc>
          <w:tcPr>
            <w:tcW w:w="5354" w:type="dxa"/>
            <w:tcBorders/>
            <w:shd w:color="auto" w:fill="FFFFFF" w:themeFill="background1" w:val="clear"/>
          </w:tcPr>
          <w:p>
            <w:pPr>
              <w:pStyle w:val="Normal"/>
              <w:widowControl w:val="false"/>
              <w:rPr>
                <w:b/>
                <w:sz w:val="22"/>
                <w:szCs w:val="22"/>
                <w:u w:val="single"/>
              </w:rPr>
            </w:pPr>
            <w:r>
              <w:rPr>
                <w:b/>
                <w:sz w:val="22"/>
                <w:szCs w:val="22"/>
                <w:u w:val="single"/>
              </w:rPr>
              <w:t>Покупатель:</w:t>
            </w:r>
          </w:p>
          <w:p>
            <w:pPr>
              <w:pStyle w:val="Normal"/>
              <w:widowControl w:val="false"/>
              <w:rPr>
                <w:sz w:val="22"/>
                <w:szCs w:val="22"/>
              </w:rPr>
            </w:pPr>
            <w:r>
              <w:rPr>
                <w:sz w:val="22"/>
                <w:szCs w:val="22"/>
              </w:rPr>
            </w:r>
          </w:p>
          <w:p>
            <w:pPr>
              <w:pStyle w:val="Normal"/>
              <w:widowControl w:val="false"/>
              <w:rPr>
                <w:sz w:val="22"/>
                <w:szCs w:val="22"/>
                <w:u w:val="single"/>
              </w:rPr>
            </w:pPr>
            <w:r>
              <w:rPr>
                <w:sz w:val="22"/>
                <w:szCs w:val="22"/>
                <w:u w:val="single"/>
              </w:rPr>
            </w:r>
          </w:p>
          <w:p>
            <w:pPr>
              <w:pStyle w:val="Normal"/>
              <w:widowControl w:val="false"/>
              <w:rPr>
                <w:sz w:val="22"/>
                <w:szCs w:val="22"/>
                <w:u w:val="single"/>
              </w:rPr>
            </w:pPr>
            <w:r>
              <w:rPr>
                <w:sz w:val="22"/>
                <w:szCs w:val="22"/>
                <w:u w:val="single"/>
              </w:rPr>
            </w:r>
          </w:p>
        </w:tc>
        <w:tc>
          <w:tcPr>
            <w:tcW w:w="5101" w:type="dxa"/>
            <w:tcBorders/>
            <w:shd w:color="auto" w:fill="FFFFFF" w:themeFill="background1" w:val="clear"/>
          </w:tcPr>
          <w:p>
            <w:pPr>
              <w:pStyle w:val="Normal"/>
              <w:widowControl w:val="false"/>
              <w:rPr>
                <w:b/>
                <w:sz w:val="22"/>
                <w:szCs w:val="22"/>
                <w:u w:val="single"/>
              </w:rPr>
            </w:pPr>
            <w:r>
              <w:rPr>
                <w:b/>
                <w:sz w:val="22"/>
                <w:szCs w:val="22"/>
                <w:u w:val="single"/>
              </w:rPr>
              <w:t>Поставщик:</w:t>
            </w:r>
          </w:p>
          <w:p>
            <w:pPr>
              <w:pStyle w:val="Normal"/>
              <w:widowControl w:val="false"/>
              <w:rPr>
                <w:sz w:val="22"/>
                <w:szCs w:val="22"/>
              </w:rPr>
            </w:pPr>
            <w:r>
              <w:rPr>
                <w:sz w:val="22"/>
                <w:szCs w:val="22"/>
              </w:rPr>
            </w:r>
          </w:p>
        </w:tc>
      </w:tr>
      <w:tr>
        <w:trPr/>
        <w:tc>
          <w:tcPr>
            <w:tcW w:w="5354" w:type="dxa"/>
            <w:tcBorders/>
            <w:shd w:color="auto" w:fill="FFFFFF" w:themeFill="background1" w:val="clear"/>
          </w:tcPr>
          <w:p>
            <w:pPr>
              <w:pStyle w:val="Normal"/>
              <w:widowControl w:val="false"/>
              <w:rPr>
                <w:sz w:val="22"/>
                <w:szCs w:val="22"/>
              </w:rPr>
            </w:pPr>
            <w:r>
              <w:rPr>
                <w:sz w:val="22"/>
                <w:szCs w:val="22"/>
              </w:rPr>
              <w:t xml:space="preserve">_______________ </w:t>
            </w:r>
          </w:p>
          <w:p>
            <w:pPr>
              <w:pStyle w:val="Normal"/>
              <w:widowControl w:val="false"/>
              <w:rPr>
                <w:sz w:val="22"/>
                <w:szCs w:val="22"/>
              </w:rPr>
            </w:pPr>
            <w:r>
              <w:rPr>
                <w:sz w:val="22"/>
                <w:szCs w:val="22"/>
              </w:rPr>
              <w:t>м.п.</w:t>
            </w:r>
          </w:p>
        </w:tc>
        <w:tc>
          <w:tcPr>
            <w:tcW w:w="5101" w:type="dxa"/>
            <w:tcBorders/>
            <w:shd w:color="auto" w:fill="FFFFFF" w:themeFill="background1" w:val="clear"/>
          </w:tcPr>
          <w:p>
            <w:pPr>
              <w:pStyle w:val="Normal"/>
              <w:widowControl w:val="false"/>
              <w:rPr>
                <w:sz w:val="22"/>
                <w:szCs w:val="22"/>
              </w:rPr>
            </w:pPr>
            <w:r>
              <w:rPr>
                <w:sz w:val="22"/>
                <w:szCs w:val="22"/>
              </w:rPr>
              <w:t>_______________</w:t>
            </w:r>
          </w:p>
          <w:p>
            <w:pPr>
              <w:pStyle w:val="Normal"/>
              <w:widowControl w:val="false"/>
              <w:rPr>
                <w:sz w:val="22"/>
                <w:szCs w:val="22"/>
              </w:rPr>
            </w:pPr>
            <w:r>
              <w:rPr>
                <w:sz w:val="22"/>
                <w:szCs w:val="22"/>
              </w:rPr>
              <w:t>м.п.</w:t>
            </w:r>
          </w:p>
        </w:tc>
      </w:tr>
    </w:tbl>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t>Приложение № 2</w:t>
      </w:r>
    </w:p>
    <w:p>
      <w:pPr>
        <w:pStyle w:val="Normal"/>
        <w:numPr>
          <w:ilvl w:val="0"/>
          <w:numId w:val="0"/>
        </w:numPr>
        <w:ind w:left="0" w:hanging="0"/>
        <w:jc w:val="right"/>
        <w:outlineLvl w:val="0"/>
        <w:rPr>
          <w:sz w:val="22"/>
          <w:szCs w:val="22"/>
        </w:rPr>
      </w:pPr>
      <w:r>
        <w:rPr>
          <w:sz w:val="22"/>
          <w:szCs w:val="22"/>
        </w:rPr>
        <w:t xml:space="preserve">к договору поставки </w:t>
      </w:r>
    </w:p>
    <w:p>
      <w:pPr>
        <w:pStyle w:val="Normal"/>
        <w:numPr>
          <w:ilvl w:val="0"/>
          <w:numId w:val="0"/>
        </w:numPr>
        <w:ind w:left="0" w:hanging="0"/>
        <w:jc w:val="right"/>
        <w:outlineLvl w:val="0"/>
        <w:rPr>
          <w:sz w:val="22"/>
          <w:szCs w:val="22"/>
        </w:rPr>
      </w:pPr>
      <w:r>
        <w:rPr>
          <w:sz w:val="22"/>
          <w:szCs w:val="22"/>
        </w:rPr>
        <w:t xml:space="preserve">№ </w:t>
      </w:r>
      <w:r>
        <w:rPr>
          <w:sz w:val="22"/>
          <w:szCs w:val="22"/>
        </w:rPr>
        <w:t>_______________________ от «____» ____________ 2026 г.</w:t>
      </w:r>
    </w:p>
    <w:p>
      <w:pPr>
        <w:pStyle w:val="Normal"/>
        <w:widowControl w:val="false"/>
        <w:spacing w:lineRule="auto" w:line="264"/>
        <w:rPr>
          <w:sz w:val="24"/>
          <w:szCs w:val="24"/>
        </w:rPr>
      </w:pPr>
      <w:r>
        <w:rPr>
          <w:sz w:val="24"/>
          <w:szCs w:val="24"/>
        </w:rPr>
      </w:r>
    </w:p>
    <w:p>
      <w:pPr>
        <w:pStyle w:val="Normal"/>
        <w:widowControl w:val="false"/>
        <w:spacing w:lineRule="auto" w:line="264"/>
        <w:jc w:val="center"/>
        <w:rPr>
          <w:sz w:val="24"/>
          <w:szCs w:val="24"/>
        </w:rPr>
      </w:pPr>
      <w:r>
        <w:rPr>
          <w:b/>
          <w:sz w:val="24"/>
          <w:szCs w:val="24"/>
        </w:rPr>
        <w:t>Технические требования</w:t>
      </w:r>
    </w:p>
    <w:p>
      <w:pPr>
        <w:pStyle w:val="Normal"/>
        <w:widowControl w:val="false"/>
        <w:spacing w:lineRule="auto" w:line="264"/>
        <w:rPr>
          <w:sz w:val="24"/>
          <w:szCs w:val="24"/>
        </w:rPr>
      </w:pPr>
      <w:r>
        <w:rPr>
          <w:sz w:val="24"/>
          <w:szCs w:val="24"/>
        </w:rPr>
      </w:r>
    </w:p>
    <w:p>
      <w:pPr>
        <w:pStyle w:val="Heading4"/>
        <w:numPr>
          <w:ilvl w:val="0"/>
          <w:numId w:val="0"/>
        </w:numPr>
        <w:ind w:left="2007" w:hanging="0"/>
        <w:rPr/>
      </w:pPr>
      <w:r>
        <w:rPr/>
      </w:r>
    </w:p>
    <w:sectPr>
      <w:headerReference w:type="default" r:id="rId9"/>
      <w:headerReference w:type="first" r:id="rId10"/>
      <w:footerReference w:type="default" r:id="rId11"/>
      <w:footerReference w:type="first" r:id="rId12"/>
      <w:footnotePr>
        <w:numFmt w:val="decimal"/>
      </w:footnotePr>
      <w:type w:val="nextPage"/>
      <w:pgSz w:w="11906" w:h="16838"/>
      <w:pgMar w:left="1134" w:right="1022" w:gutter="0" w:header="720" w:top="851" w:footer="720"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sz w:val="18"/>
          <w:szCs w:val="18"/>
        </w:rPr>
      </w:pPr>
      <w:r>
        <w:rPr>
          <w:rStyle w:val="Style9"/>
        </w:rPr>
        <w:footnoteRef/>
      </w:r>
      <w:r>
        <w:rPr>
          <w:sz w:val="18"/>
          <w:szCs w:val="18"/>
        </w:rPr>
        <w:t>Применяется в случае, если Контрагент является субъектом МСП, для закупок, участниками которых могут быть только субъекты МСП, а также в случае, если по результатам закупки среди любых участников победителем закупки признан субъект МСП, при этом Общество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360"/>
        </w:tabs>
        <w:ind w:left="360" w:hanging="360"/>
      </w:pPr>
      <w:rPr/>
    </w:lvl>
    <w:lvl w:ilvl="1">
      <w:start w:val="6"/>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2"/>
      <w:numFmt w:val="decimal"/>
      <w:lvlText w:val="%1."/>
      <w:lvlJc w:val="left"/>
      <w:pPr>
        <w:tabs>
          <w:tab w:val="num" w:pos="0"/>
        </w:tabs>
        <w:ind w:left="360" w:hanging="360"/>
      </w:pPr>
      <w:rPr/>
    </w:lvl>
    <w:lvl w:ilvl="1">
      <w:start w:val="7"/>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4"/>
      <w:numFmt w:val="decimal"/>
      <w:lvlText w:val="%1."/>
      <w:lvlJc w:val="left"/>
      <w:pPr>
        <w:tabs>
          <w:tab w:val="num" w:pos="0"/>
        </w:tabs>
        <w:ind w:left="480" w:hanging="480"/>
      </w:pPr>
      <w:rPr/>
    </w:lvl>
    <w:lvl w:ilvl="1">
      <w:start w:val="1"/>
      <w:numFmt w:val="decimal"/>
      <w:lvlText w:val="%1.%2."/>
      <w:lvlJc w:val="left"/>
      <w:pPr>
        <w:tabs>
          <w:tab w:val="num" w:pos="0"/>
        </w:tabs>
        <w:ind w:left="1756" w:hanging="480"/>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9096" w:hanging="144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2008" w:hanging="1800"/>
      </w:pPr>
      <w:rPr/>
    </w:lvl>
  </w:abstractNum>
  <w:abstractNum w:abstractNumId="17">
    <w:lvl w:ilvl="0">
      <w:start w:val="6"/>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8">
    <w:lvl w:ilvl="0">
      <w:start w:val="1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4"/>
    <w:lvlOverride w:ilvl="0">
      <w:startOverride w:val="1"/>
    </w:lvlOverride>
  </w:num>
</w:numbering>
</file>

<file path=word/settings.xml><?xml version="1.0" encoding="utf-8"?>
<w:settings xmlns:w="http://schemas.openxmlformats.org/wordprocessingml/2006/main">
  <w:zoom w:percent="90"/>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Vars>
    <w:docVar w:name="OUR_BANK_SNAME_R" w:val="Банка ГПБ (АО)"/>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4793"/>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nhideWhenUsed/>
    <w:rsid w:val="002b6da9"/>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Default" w:customStyle="1">
    <w:name w:val="Default"/>
    <w:qFormat/>
    <w:rsid w:val="007d008c"/>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1" w:customStyle="1">
    <w:name w:val="Содержимое врезки"/>
    <w:basedOn w:val="Normal"/>
    <w:qFormat/>
    <w:pPr/>
    <w:rPr/>
  </w:style>
  <w:style w:type="paragraph" w:styleId="11" w:customStyle="1">
    <w:name w:val="Основной текст1"/>
    <w:basedOn w:val="Normal"/>
    <w:qFormat/>
    <w:pPr>
      <w:widowControl w:val="false"/>
      <w:shd w:val="clear" w:color="auto" w:fill="FFFFFF"/>
      <w:spacing w:lineRule="exact" w:line="302"/>
    </w:pPr>
    <w:rPr>
      <w:sz w:val="28"/>
      <w:szCs w:val="28"/>
    </w:rPr>
  </w:style>
  <w:style w:type="paragraph" w:styleId="Style22" w:customStyle="1">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9990-333F-4F89-9841-5C5AD983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Application>AlterOffice/3.4.0.9$Linux_X86_64 LibreOffice_project/b8daf9e823b1a5463a2f48435ddc2e8696e7d4fc</Application>
  <AppVersion>15.0000</AppVersion>
  <Pages>16</Pages>
  <Words>6938</Words>
  <Characters>49142</Characters>
  <CharactersWithSpaces>55737</CharactersWithSpaces>
  <Paragraphs>288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2023-10-17T12:22:00Z</dcterms:created>
  <dc:creator>Света &amp; Алла (Twix)</dc:creator>
  <dc:description/>
  <dc:language>ru-RU</dc:language>
  <cp:lastModifiedBy>korolevkv@corp.gidroogk.com</cp:lastModifiedBy>
  <cp:lastPrinted>2025-01-24T15:27:00Z</cp:lastPrinted>
  <dcterms:modified xsi:type="dcterms:W3CDTF">2026-06-05T13:23:01Z</dcterms:modified>
  <cp:revision>137</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