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</w:r>
    </w:p>
    <w:p>
      <w:pPr>
        <w:pStyle w:val="Normal"/>
        <w:jc w:val="right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</w:r>
    </w:p>
    <w:p>
      <w:pPr>
        <w:pStyle w:val="Normal"/>
        <w:jc w:val="right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</w:r>
    </w:p>
    <w:p>
      <w:pPr>
        <w:pStyle w:val="Normal"/>
        <w:jc w:val="right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</w:r>
    </w:p>
    <w:p>
      <w:pPr>
        <w:pStyle w:val="Normal"/>
        <w:jc w:val="right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</w:r>
    </w:p>
    <w:p>
      <w:pPr>
        <w:pStyle w:val="Normal"/>
        <w:jc w:val="right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</w:r>
    </w:p>
    <w:p>
      <w:pPr>
        <w:pStyle w:val="Normal"/>
        <w:jc w:val="right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</w:r>
    </w:p>
    <w:p>
      <w:pPr>
        <w:pStyle w:val="Normal"/>
        <w:jc w:val="right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</w:r>
    </w:p>
    <w:p>
      <w:pPr>
        <w:pStyle w:val="Normal"/>
        <w:jc w:val="right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</w:r>
    </w:p>
    <w:p>
      <w:pPr>
        <w:pStyle w:val="Normal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на </w:t>
      </w:r>
      <w:r>
        <w:rPr>
          <w:rFonts w:eastAsia="Calibri"/>
          <w:b/>
        </w:rPr>
        <w:t>выполнение работ</w:t>
      </w:r>
    </w:p>
    <w:p>
      <w:pPr>
        <w:pStyle w:val="Normal"/>
        <w:jc w:val="center"/>
        <w:rPr/>
      </w:pPr>
      <w:r>
        <w:rPr>
          <w:rFonts w:eastAsia="Calibri"/>
          <w:b/>
        </w:rPr>
        <w:t xml:space="preserve">«ОКПД2 </w:t>
      </w:r>
      <w:r>
        <w:rPr>
          <w:rFonts w:eastAsia="Calibri"/>
          <w:b/>
        </w:rPr>
        <w:t>84.25.11</w:t>
      </w:r>
      <w:r>
        <w:rPr>
          <w:rFonts w:eastAsia="Calibri" w:cs="Times New Roman"/>
          <w:b/>
          <w:color w:val="auto"/>
          <w:sz w:val="28"/>
          <w:szCs w:val="28"/>
          <w:lang w:val="ru-RU" w:eastAsia="zh-CN" w:bidi="ar-SA"/>
        </w:rPr>
        <w:t>.120 Монтаж пожарной сигнализации в административном здании, РПБ, ТМХ, гаражи, Республика Саха (Якутия), г. Якутск, ул. Автодорожная д. 26 (5 компл.) в рамках инвестиционного проекта  P_508-92421»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  <w:bCs/>
          <w:color w:val="000000"/>
          <w:shd w:fill="FFFF00" w:val="clear"/>
        </w:rPr>
      </w:pPr>
      <w:r>
        <w:rPr>
          <w:rFonts w:eastAsia="Calibri"/>
          <w:b/>
          <w:bCs/>
          <w:color w:val="000000"/>
          <w:shd w:fill="FFFF00" w:val="clear"/>
        </w:rPr>
        <w:t>ЛОТ №</w:t>
      </w:r>
    </w:p>
    <w:p>
      <w:pPr>
        <w:pStyle w:val="Normal"/>
        <w:jc w:val="center"/>
        <w:rPr>
          <w:rFonts w:eastAsia="Calibri"/>
          <w:b/>
          <w:bCs/>
          <w:shd w:fill="FFFF00" w:val="clear"/>
          <w:lang w:val="en-US"/>
        </w:rPr>
      </w:pPr>
      <w:r>
        <w:rPr>
          <w:rFonts w:eastAsia="Calibri"/>
          <w:b/>
          <w:bCs/>
          <w:shd w:fill="FFFF00" w:val="clear"/>
          <w:lang w:val="en-US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  <w:r>
        <w:br w:type="page"/>
      </w:r>
    </w:p>
    <w:p>
      <w:pPr>
        <w:pStyle w:val="Normal"/>
        <w:jc w:val="center"/>
        <w:rPr>
          <w:b/>
          <w:color w:val="auto"/>
        </w:rPr>
      </w:pPr>
      <w:r>
        <w:rPr>
          <w:b/>
          <w:color w:val="auto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rStyle w:val="Hyperlink"/>
              <w:color w:val="auto"/>
            </w:rPr>
            <w:instrText xml:space="preserve"> TOC \o "1-4" \h</w:instrText>
          </w:r>
          <w:r>
            <w:rPr>
              <w:rStyle w:val="Hyperlink"/>
              <w:color w:val="auto"/>
            </w:rPr>
            <w:fldChar w:fldCharType="separate"/>
          </w:r>
          <w:hyperlink w:anchor="__RefHeading___Toc66528_4229055866">
            <w:r>
              <w:rPr>
                <w:rStyle w:val="Hyperlink"/>
                <w:color w:val="auto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0_4229055866">
            <w:r>
              <w:rPr>
                <w:rStyle w:val="Hyperlink"/>
                <w:color w:val="auto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2_4229055866">
            <w:r>
              <w:rPr>
                <w:rStyle w:val="Hyperlink"/>
                <w:color w:val="auto"/>
              </w:rPr>
              <w:t xml:space="preserve">1.2. Наименование  </w:t>
            </w:r>
            <w:r>
              <w:rPr>
                <w:rStyle w:val="Hyperlink"/>
                <w:color w:val="auto"/>
              </w:rPr>
              <w:t>закупаемой продукции</w:t>
            </w:r>
            <w:r>
              <w:rPr>
                <w:rStyle w:val="Hyperlink"/>
                <w:color w:val="auto"/>
              </w:rPr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4_4229055866">
            <w:r>
              <w:rPr>
                <w:rStyle w:val="Hyperlink"/>
                <w:color w:val="auto"/>
              </w:rPr>
              <w:t>1.3. Цель использов</w:t>
            </w:r>
            <w:r>
              <w:rPr>
                <w:rStyle w:val="Hyperlink"/>
                <w:rFonts w:eastAsia="Times New Roman" w:cs="Calibri"/>
                <w:color w:val="auto"/>
                <w:sz w:val="20"/>
                <w:szCs w:val="20"/>
                <w:u w:val="single"/>
                <w:lang w:val="ru-RU" w:eastAsia="zh-CN" w:bidi="ar-SA"/>
              </w:rPr>
              <w:t xml:space="preserve">ания  </w:t>
            </w:r>
          </w:hyperlink>
          <w:r>
            <w:rPr>
              <w:rFonts w:eastAsia="Times New Roman" w:cs="Calibri"/>
              <w:color w:val="auto"/>
              <w:sz w:val="20"/>
              <w:szCs w:val="20"/>
              <w:u w:val="single"/>
              <w:lang w:val="ru-RU" w:eastAsia="zh-CN" w:bidi="ar-SA"/>
            </w:rPr>
            <w:t>з</w:t>
          </w:r>
          <w:hyperlink w:anchor="__RefHeading___Toc66532_4229055866">
            <w:r>
              <w:rPr>
                <w:rStyle w:val="Hyperlink"/>
              </w:rPr>
              <w:t>акупаемой продукции</w:t>
            </w:r>
          </w:hyperlink>
          <w:hyperlink w:anchor="__RefHeading___Toc66534_4229055866">
            <w:r>
              <w:rPr>
                <w:rStyle w:val="Hyperlink"/>
                <w:color w:val="auto"/>
              </w:rPr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6_4229055866">
            <w:r>
              <w:rPr>
                <w:rStyle w:val="Hyperlink"/>
                <w:color w:val="auto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54970179">
            <w:r>
              <w:rPr>
                <w:rStyle w:val="Style14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r>
            <w:rPr>
              <w:rFonts w:eastAsia="Times New Roman" w:cs="Calibri"/>
              <w:b w:val="false"/>
              <w:bCs w:val="false"/>
              <w:color w:val="auto"/>
              <w:sz w:val="20"/>
              <w:szCs w:val="20"/>
              <w:u w:val="single"/>
              <w:lang w:val="ru-RU" w:eastAsia="zh-CN" w:bidi="ar-SA"/>
            </w:rPr>
            <w:t>1.</w:t>
          </w:r>
          <w:r>
            <w:rPr>
              <w:rFonts w:eastAsia="Times New Roman" w:cs="Calibri"/>
              <w:b w:val="false"/>
              <w:bCs w:val="false"/>
              <w:color w:val="auto"/>
              <w:sz w:val="20"/>
              <w:szCs w:val="20"/>
              <w:u w:val="single"/>
              <w:lang w:val="ru-RU" w:eastAsia="zh-CN" w:bidi="ar-SA"/>
            </w:rPr>
            <w:t>5</w:t>
          </w:r>
          <w:r>
            <w:rPr>
              <w:rFonts w:eastAsia="Times New Roman" w:cs="Calibri"/>
              <w:b w:val="false"/>
              <w:bCs w:val="false"/>
              <w:color w:val="auto"/>
              <w:sz w:val="20"/>
              <w:szCs w:val="20"/>
              <w:u w:val="single"/>
              <w:lang w:val="ru-RU" w:eastAsia="zh-CN" w:bidi="ar-SA"/>
            </w:rPr>
            <w:t>. Ин</w:t>
          </w:r>
          <w:hyperlink w:anchor="_Toc54970180">
            <w:r>
              <w:rPr>
                <w:rStyle w:val="Style14"/>
                <w:rFonts w:eastAsia="Times New Roman" w:cs="Calibri"/>
                <w:b w:val="false"/>
                <w:bCs w:val="false"/>
                <w:color w:val="auto"/>
                <w:sz w:val="20"/>
                <w:szCs w:val="20"/>
                <w:u w:val="single"/>
                <w:lang w:val="ru-RU" w:eastAsia="zh-CN" w:bidi="ar-SA"/>
              </w:rPr>
              <w:t>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[Опциональный раздел]</w:t>
              <w:tab/>
            </w:r>
          </w:hyperlink>
          <w:r>
            <w:rPr>
              <w:rFonts w:eastAsia="Times New Roman" w:cs="Calibri"/>
              <w:b w:val="false"/>
              <w:bCs w:val="false"/>
              <w:color w:val="auto"/>
              <w:sz w:val="20"/>
              <w:szCs w:val="20"/>
              <w:u w:val="single"/>
              <w:lang w:val="ru-RU" w:eastAsia="zh-CN" w:bidi="ar-SA"/>
            </w:rPr>
            <w:t>4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38_4229055866">
            <w:r>
              <w:rPr>
                <w:rStyle w:val="Hyperlink"/>
                <w:color w:val="auto"/>
              </w:rPr>
              <w:t xml:space="preserve">2. </w:t>
            </w:r>
            <w:r>
              <w:rPr>
                <w:rStyle w:val="Hyperlink"/>
                <w:iCs/>
                <w:color w:val="auto"/>
              </w:rPr>
              <w:t>Требования к продукции</w:t>
            </w:r>
            <w:r>
              <w:rPr>
                <w:rStyle w:val="Hyperlink"/>
                <w:color w:val="auto"/>
              </w:rPr>
              <w:tab/>
            </w:r>
          </w:hyperlink>
          <w:r>
            <w:rPr>
              <w:color w:val="auto"/>
            </w:rPr>
            <w:t>5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40_4229055866">
            <w:r>
              <w:rPr>
                <w:rStyle w:val="Hyperlink"/>
                <w:color w:val="auto"/>
              </w:rPr>
              <w:t xml:space="preserve">2.1. Требования к объемам и срокам </w:t>
            </w:r>
            <w:r>
              <w:rPr>
                <w:rStyle w:val="Hyperlink"/>
                <w:color w:val="auto"/>
              </w:rPr>
              <w:t>выполнения работ</w:t>
            </w:r>
            <w:r>
              <w:rPr>
                <w:rStyle w:val="Hyperlink"/>
                <w:color w:val="auto"/>
              </w:rPr>
              <w:tab/>
            </w:r>
          </w:hyperlink>
          <w:r>
            <w:rPr>
              <w:color w:val="auto"/>
            </w:rPr>
            <w:t>5</w:t>
          </w:r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r>
            <w:rPr>
              <w:color w:val="auto"/>
            </w:rPr>
            <w:t xml:space="preserve">     </w:t>
          </w:r>
          <w:hyperlink w:anchor="__RefHeading___Toc66542_4229055866">
            <w:r>
              <w:rPr>
                <w:rStyle w:val="Hyperlink"/>
              </w:rPr>
              <w:t xml:space="preserve">2.1.1. </w:t>
            </w:r>
            <w:r>
              <w:rPr>
                <w:rStyle w:val="Hyperlink"/>
                <w:color w:val="auto"/>
              </w:rPr>
              <w:t>Требования к видам и объемам</w:t>
            </w:r>
            <w:r>
              <w:rPr>
                <w:rStyle w:val="Hyperlink"/>
                <w:color w:val="auto"/>
              </w:rPr>
              <w:t xml:space="preserve"> </w:t>
            </w:r>
            <w:r>
              <w:rPr>
                <w:rStyle w:val="Hyperlink"/>
                <w:color w:val="auto"/>
              </w:rPr>
              <w:t>работ</w:t>
            </w:r>
            <w:r>
              <w:rPr>
                <w:rStyle w:val="Hyperlink"/>
                <w:color w:val="auto"/>
              </w:rPr>
              <w:tab/>
            </w:r>
          </w:hyperlink>
          <w:r>
            <w:rPr>
              <w:color w:val="auto"/>
            </w:rPr>
            <w:t>5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44_4229055866">
            <w:r>
              <w:rPr>
                <w:rStyle w:val="Hyperlink"/>
                <w:color w:val="auto"/>
              </w:rPr>
              <w:t xml:space="preserve">Таблица </w:t>
            </w:r>
            <w:r>
              <w:rPr>
                <w:rStyle w:val="Hyperlink"/>
                <w:color w:val="auto"/>
              </w:rPr>
              <w:t>2</w:t>
            </w:r>
            <w:r>
              <w:rPr>
                <w:rStyle w:val="Hyperlink"/>
                <w:color w:val="auto"/>
              </w:rPr>
              <w:t xml:space="preserve"> Перечень и объем </w:t>
            </w:r>
            <w:r>
              <w:rPr>
                <w:rStyle w:val="Hyperlink"/>
                <w:color w:val="auto"/>
              </w:rPr>
              <w:t>выполняемых работ</w:t>
            </w:r>
            <w:r>
              <w:rPr>
                <w:rStyle w:val="Hyperlink"/>
                <w:color w:val="auto"/>
              </w:rPr>
              <w:tab/>
            </w:r>
          </w:hyperlink>
          <w:r>
            <w:rPr>
              <w:color w:val="auto"/>
            </w:rPr>
            <w:t>5</w:t>
          </w:r>
        </w:p>
        <w:p>
          <w:pPr>
            <w:pStyle w:val="Normal"/>
            <w:tabs>
              <w:tab w:val="clear" w:pos="720"/>
              <w:tab w:val="right" w:pos="9921" w:leader="dot"/>
            </w:tabs>
            <w:rPr/>
          </w:pPr>
          <w:r>
            <w:rPr>
              <w:rFonts w:eastAsia="Times New Roman" w:cs="Calibri"/>
              <w:color w:val="auto"/>
              <w:sz w:val="20"/>
              <w:szCs w:val="20"/>
              <w:u w:val="single"/>
              <w:lang w:val="ru-RU" w:eastAsia="zh-CN" w:bidi="ar-SA"/>
            </w:rPr>
            <w:t xml:space="preserve">          </w:t>
          </w:r>
          <w:r>
            <w:rPr>
              <w:rFonts w:eastAsia="Times New Roman" w:cs="Calibri"/>
              <w:color w:val="auto"/>
              <w:sz w:val="20"/>
              <w:szCs w:val="20"/>
              <w:u w:val="single"/>
              <w:lang w:val="ru-RU" w:eastAsia="zh-CN" w:bidi="ar-SA"/>
            </w:rPr>
            <w:t xml:space="preserve">2.1.2 </w:t>
          </w:r>
          <w:hyperlink w:anchor="_Toc546464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Times New Roman" w:cs="Calibri"/>
                <w:color w:val="auto"/>
                <w:sz w:val="20"/>
                <w:szCs w:val="20"/>
                <w:u w:val="single"/>
                <w:lang w:val="ru-RU" w:eastAsia="zh-CN" w:bidi="ar-SA"/>
              </w:rPr>
              <w:t>Требования к срокам выполнения работ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_RefHeading___Toc75446579">
            <w:r>
              <w:rPr>
                <w:rStyle w:val="Hyperlink"/>
                <w:color w:val="auto"/>
              </w:rPr>
              <w:t xml:space="preserve">Таблица </w:t>
            </w:r>
            <w:r>
              <w:rPr>
                <w:rStyle w:val="Hyperlink"/>
                <w:color w:val="auto"/>
              </w:rPr>
              <w:t>3</w:t>
            </w:r>
            <w:r>
              <w:rPr>
                <w:rStyle w:val="Hyperlink"/>
                <w:color w:val="auto"/>
              </w:rPr>
              <w:t xml:space="preserve"> Требования по срокам поставки продукции</w:t>
              <w:tab/>
            </w:r>
          </w:hyperlink>
          <w:r>
            <w:rPr>
              <w:color w:val="auto"/>
            </w:rPr>
            <w:t>5</w:t>
          </w:r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/>
          </w:pPr>
          <w:hyperlink w:anchor="__RefHeading___Toc75446581">
            <w:r>
              <w:rPr>
                <w:rStyle w:val="Hyperlink"/>
                <w:iCs/>
                <w:color w:val="auto"/>
              </w:rPr>
              <w:t>2.2.</w:t>
            </w:r>
            <w:r>
              <w:rPr>
                <w:rStyle w:val="Hyperlink"/>
                <w:rFonts w:eastAsia="PMingLiU;新細明體" w:cs="Calibri" w:ascii="Calibri" w:hAnsi="Calibri"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color w:val="auto"/>
              </w:rPr>
              <w:t xml:space="preserve">Требования к качеству </w:t>
            </w:r>
            <w:r>
              <w:rPr>
                <w:rStyle w:val="Hyperlink"/>
                <w:color w:val="auto"/>
              </w:rPr>
              <w:t>работ</w:t>
            </w:r>
            <w:r>
              <w:rPr>
                <w:rStyle w:val="Hyperlink"/>
                <w:color w:val="auto"/>
              </w:rPr>
              <w:tab/>
            </w:r>
          </w:hyperlink>
          <w:r>
            <w:rPr>
              <w:color w:val="auto"/>
            </w:rPr>
            <w:t>6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52_4229055866">
            <w:r>
              <w:rPr>
                <w:rStyle w:val="Hyperlink"/>
                <w:rFonts w:cs="Times New Roman"/>
                <w:color w:val="auto"/>
              </w:rPr>
              <w:t xml:space="preserve"> </w:t>
            </w:r>
            <w:r>
              <w:rPr>
                <w:rStyle w:val="Hyperlink"/>
                <w:color w:val="auto"/>
              </w:rPr>
              <w:t>Таблица </w:t>
            </w:r>
            <w:r>
              <w:rPr>
                <w:rStyle w:val="Hyperlink"/>
                <w:color w:val="auto"/>
              </w:rPr>
              <w:t>4</w:t>
            </w:r>
            <w:r>
              <w:rPr>
                <w:rStyle w:val="Hyperlink"/>
                <w:color w:val="auto"/>
              </w:rPr>
              <w:t xml:space="preserve">. Требования к </w:t>
            </w:r>
            <w:r>
              <w:rPr>
                <w:rStyle w:val="Hyperlink"/>
                <w:color w:val="auto"/>
              </w:rPr>
              <w:t xml:space="preserve">качеству </w:t>
            </w:r>
            <w:r>
              <w:rPr>
                <w:rStyle w:val="Hyperlink"/>
                <w:color w:val="auto"/>
              </w:rPr>
              <w:t>продукции</w:t>
              <w:tab/>
            </w:r>
          </w:hyperlink>
          <w:r>
            <w:rPr>
              <w:color w:val="auto"/>
            </w:rPr>
            <w:t>6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rPr>
              <w:color w:val="auto"/>
            </w:rPr>
            <w:t xml:space="preserve">3. </w:t>
          </w:r>
          <w:hyperlink w:anchor="_Toc549701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Times New Roman" w:cs="Calibri Light (Заголовки)"/>
                <w:b/>
                <w:bCs/>
                <w:color w:val="auto"/>
                <w:sz w:val="24"/>
                <w:szCs w:val="24"/>
                <w:u w:val="single"/>
                <w:lang w:val="ru-RU" w:eastAsia="zh-CN" w:bidi="ar-SA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rPr>
              <w:rFonts w:eastAsia="Times New Roman" w:cs="Calibri Light (Заголовки)"/>
              <w:b/>
              <w:bCs/>
              <w:color w:val="auto"/>
              <w:sz w:val="24"/>
              <w:szCs w:val="24"/>
              <w:u w:val="single"/>
              <w:lang w:val="ru-RU" w:eastAsia="zh-CN" w:bidi="ar-SA"/>
            </w:rPr>
            <w:t xml:space="preserve">4. </w:t>
          </w:r>
          <w:hyperlink w:anchor="__RefHeading___Toc75446584">
            <w:r>
              <w:rPr>
                <w:rStyle w:val="Hyperlink"/>
              </w:rPr>
              <w:t>Тр</w:t>
            </w:r>
            <w:r>
              <w:rPr>
                <w:rStyle w:val="Hyperlink"/>
                <w:color w:val="auto"/>
              </w:rPr>
              <w:t>ебования к документации по ценообразованию на этапе заключения (исполнения) договора</w:t>
              <w:tab/>
              <w:t>1</w:t>
            </w:r>
          </w:hyperlink>
          <w:r>
            <w:rPr>
              <w:color w:val="auto"/>
            </w:rPr>
            <w:t>6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_RefHeading___Toc75446585">
            <w:r>
              <w:rPr>
                <w:rStyle w:val="Hyperlink"/>
                <w:color w:val="auto"/>
              </w:rPr>
              <w:t>5.</w:t>
            </w:r>
            <w:r>
              <w:rPr>
                <w:rStyle w:val="Hyperlink"/>
                <w:rFonts w:eastAsia="PMingLiU;新細明體" w:cs="Calibri" w:ascii="Calibri" w:hAnsi="Calibri"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iCs/>
                <w:color w:val="auto"/>
              </w:rPr>
              <w:t>Приложения</w:t>
            </w:r>
            <w:r>
              <w:rPr>
                <w:rStyle w:val="Hyperlink"/>
                <w:color w:val="auto"/>
              </w:rPr>
              <w:tab/>
            </w:r>
          </w:hyperlink>
          <w:r>
            <w:rPr>
              <w:color w:val="auto"/>
            </w:rPr>
            <w:t>1</w:t>
          </w:r>
          <w:r>
            <w:rPr>
              <w:color w:val="auto"/>
            </w:rPr>
            <w:t>6</w:t>
          </w:r>
          <w:r>
            <w:rPr>
              <w:color w:val="auto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9911" w:leader="dot"/>
        </w:tabs>
        <w:rPr/>
      </w:pPr>
      <w:hyperlink w:anchor="_Toc54646414">
        <w:r>
          <w:rPr>
            <w:rStyle w:val="Style14"/>
          </w:rPr>
          <w:t>Требования к оформлению и составлению документации по ценообразованию</w:t>
        </w:r>
        <w:r>
          <w:rPr>
            <w:rStyle w:val="Style14"/>
            <w:vanish w:val="false"/>
          </w:rPr>
          <w:tab/>
          <w:t>1</w:t>
        </w:r>
      </w:hyperlink>
      <w:r>
        <w:rPr>
          <w:vanish w:val="false"/>
        </w:rPr>
        <w:t>8</w:t>
      </w:r>
    </w:p>
    <w:p>
      <w:pPr>
        <w:pStyle w:val="TOC1"/>
        <w:tabs>
          <w:tab w:val="clear" w:pos="720"/>
          <w:tab w:val="left" w:pos="560" w:leader="none"/>
          <w:tab w:val="right" w:pos="9911" w:leader="dot"/>
        </w:tabs>
        <w:rPr>
          <w:rFonts w:ascii="Calibri" w:hAnsi="Calibri" w:cs="Calibri"/>
          <w:b w:val="false"/>
          <w:bCs w:val="false"/>
          <w:color w:val="auto"/>
          <w:sz w:val="22"/>
          <w:szCs w:val="22"/>
        </w:rPr>
      </w:pPr>
      <w:r>
        <w:rPr>
          <w:rFonts w:cs="Calibri" w:ascii="Calibri" w:hAnsi="Calibri"/>
          <w:b w:val="false"/>
          <w:bCs w:val="false"/>
          <w:color w:val="auto"/>
          <w:sz w:val="22"/>
          <w:szCs w:val="22"/>
        </w:rPr>
      </w:r>
    </w:p>
    <w:p>
      <w:pPr>
        <w:pStyle w:val="TOC1"/>
        <w:tabs>
          <w:tab w:val="clear" w:pos="720"/>
          <w:tab w:val="left" w:pos="560" w:leader="none"/>
          <w:tab w:val="right" w:pos="9911" w:leader="dot"/>
        </w:tabs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right="0" w:hanging="0"/>
        <w:rPr>
          <w:rFonts w:ascii="Calibri" w:hAnsi="Calibri" w:cs="Calibri"/>
          <w:b w:val="false"/>
          <w:bCs w:val="false"/>
          <w:i/>
          <w:i/>
          <w:sz w:val="22"/>
          <w:szCs w:val="22"/>
        </w:rPr>
      </w:pPr>
      <w:r>
        <w:rPr>
          <w:rFonts w:cs="Calibri" w:ascii="Calibri" w:hAnsi="Calibri"/>
          <w:b w:val="false"/>
          <w:bCs w:val="false"/>
          <w:i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Calibri" w:hAnsi="Calibri" w:eastAsia="Calibri" w:cs="Calibri"/>
          <w:b/>
          <w:bCs/>
          <w:i/>
          <w:i/>
          <w:sz w:val="24"/>
          <w:szCs w:val="24"/>
        </w:rPr>
      </w:pPr>
      <w:r>
        <w:rPr>
          <w:rFonts w:eastAsia="Calibri" w:cs="Calibri" w:ascii="Calibri" w:hAnsi="Calibri"/>
          <w:b/>
          <w:bCs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right="0" w:hanging="357"/>
        <w:jc w:val="center"/>
        <w:rPr>
          <w:lang w:val="ru-RU"/>
        </w:rPr>
      </w:pPr>
      <w:bookmarkStart w:id="0" w:name="__RefHeading___Toc66528_4229055866"/>
      <w:bookmarkEnd w:id="0"/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4"/>
        </w:numPr>
        <w:rPr>
          <w:iCs/>
          <w:sz w:val="26"/>
          <w:szCs w:val="26"/>
        </w:rPr>
      </w:pPr>
      <w:bookmarkStart w:id="1" w:name="__RefHeading___Toc66530_4229055866"/>
      <w:bookmarkEnd w:id="1"/>
      <w:r>
        <w:rPr/>
        <w:t>Обозначения и сокращения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«ЦЭС»</w:t>
      </w:r>
      <w:r>
        <w:rPr>
          <w:bCs/>
          <w:sz w:val="24"/>
          <w:szCs w:val="24"/>
        </w:rPr>
        <w:t xml:space="preserve"> - Центральные электрические сети;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«ПАО</w:t>
      </w:r>
      <w:r>
        <w:rPr>
          <w:bCs/>
          <w:sz w:val="24"/>
          <w:szCs w:val="24"/>
        </w:rPr>
        <w:t>» - Публичное акционерное общество;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«Общество»</w:t>
      </w:r>
      <w:r>
        <w:rPr>
          <w:bCs/>
          <w:sz w:val="24"/>
          <w:szCs w:val="24"/>
        </w:rPr>
        <w:t xml:space="preserve"> - ПАО «Якутскэнерго»;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«ИПР»</w:t>
      </w:r>
      <w:r>
        <w:rPr>
          <w:bCs/>
          <w:sz w:val="24"/>
          <w:szCs w:val="24"/>
        </w:rPr>
        <w:t xml:space="preserve"> - Инвестиционная программа развития»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«СПС»</w:t>
      </w:r>
      <w:r>
        <w:rPr>
          <w:bCs/>
          <w:sz w:val="24"/>
          <w:szCs w:val="24"/>
        </w:rPr>
        <w:t xml:space="preserve"> - Система пожарной сигнализации;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«СОУЭ»</w:t>
      </w:r>
      <w:r>
        <w:rPr>
          <w:bCs/>
          <w:sz w:val="24"/>
          <w:szCs w:val="24"/>
        </w:rPr>
        <w:t xml:space="preserve"> - Система оповещения и управления эвакуацией;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«ФЗ»</w:t>
      </w:r>
      <w:r>
        <w:rPr>
          <w:bCs/>
          <w:sz w:val="24"/>
          <w:szCs w:val="24"/>
        </w:rPr>
        <w:t xml:space="preserve"> - Федеральный закон;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«ГОСТ»</w:t>
      </w:r>
      <w:r>
        <w:rPr>
          <w:bCs/>
          <w:sz w:val="24"/>
          <w:szCs w:val="24"/>
        </w:rPr>
        <w:t xml:space="preserve"> - Государственный стандарт;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«СП»</w:t>
      </w:r>
      <w:r>
        <w:rPr>
          <w:bCs/>
          <w:sz w:val="24"/>
          <w:szCs w:val="24"/>
        </w:rPr>
        <w:t xml:space="preserve"> - Свод правил;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«РД»</w:t>
      </w:r>
      <w:r>
        <w:rPr>
          <w:bCs/>
          <w:sz w:val="24"/>
          <w:szCs w:val="24"/>
        </w:rPr>
        <w:t xml:space="preserve"> - Руководящий документ;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«ППР»</w:t>
      </w:r>
      <w:r>
        <w:rPr>
          <w:bCs/>
          <w:sz w:val="24"/>
          <w:szCs w:val="24"/>
        </w:rPr>
        <w:t xml:space="preserve"> - Проект производства работ;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«СНиП»</w:t>
      </w:r>
      <w:r>
        <w:rPr>
          <w:bCs/>
          <w:sz w:val="24"/>
          <w:szCs w:val="24"/>
        </w:rPr>
        <w:t xml:space="preserve"> - Строительные нормы и правила;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«ПУЭ»</w:t>
      </w:r>
      <w:r>
        <w:rPr>
          <w:bCs/>
          <w:sz w:val="24"/>
          <w:szCs w:val="24"/>
        </w:rPr>
        <w:t xml:space="preserve"> - Правила устройства электроустановок;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«РГ»</w:t>
      </w:r>
      <w:r>
        <w:rPr>
          <w:bCs/>
          <w:sz w:val="24"/>
          <w:szCs w:val="24"/>
        </w:rPr>
        <w:t xml:space="preserve"> - Регламент;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 xml:space="preserve">«ТТ» </w:t>
      </w:r>
      <w:r>
        <w:rPr>
          <w:bCs/>
          <w:sz w:val="24"/>
          <w:szCs w:val="24"/>
        </w:rPr>
        <w:t>- Техническое требование;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«ФНП»</w:t>
      </w:r>
      <w:r>
        <w:rPr>
          <w:bCs/>
          <w:sz w:val="24"/>
          <w:szCs w:val="24"/>
        </w:rPr>
        <w:t xml:space="preserve"> - Федеральные нормы и правила;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 xml:space="preserve">«ИСО» </w:t>
      </w:r>
      <w:r>
        <w:rPr>
          <w:bCs/>
          <w:sz w:val="24"/>
          <w:szCs w:val="24"/>
        </w:rPr>
        <w:t>- Международный стандарт;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«РФ»</w:t>
      </w:r>
      <w:r>
        <w:rPr>
          <w:bCs/>
          <w:sz w:val="24"/>
          <w:szCs w:val="24"/>
        </w:rPr>
        <w:t xml:space="preserve"> - Российская Федерация;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«ТУ»</w:t>
      </w:r>
      <w:r>
        <w:rPr>
          <w:bCs/>
          <w:sz w:val="24"/>
          <w:szCs w:val="24"/>
        </w:rPr>
        <w:t xml:space="preserve"> - Техническое устройство;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«МЧС России»</w:t>
      </w:r>
      <w:r>
        <w:rPr>
          <w:bCs/>
          <w:sz w:val="24"/>
          <w:szCs w:val="24"/>
        </w:rPr>
        <w:t xml:space="preserve">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«СМР»</w:t>
      </w:r>
      <w:r>
        <w:rPr>
          <w:bCs/>
          <w:sz w:val="24"/>
          <w:szCs w:val="24"/>
        </w:rPr>
        <w:t xml:space="preserve"> - Строительно-монтажные работы;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«ПС»</w:t>
      </w:r>
      <w:r>
        <w:rPr>
          <w:bCs/>
          <w:sz w:val="24"/>
          <w:szCs w:val="24"/>
        </w:rPr>
        <w:t xml:space="preserve"> - Подстанция;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«КС-2»</w:t>
      </w:r>
      <w:r>
        <w:rPr>
          <w:bCs/>
          <w:sz w:val="24"/>
          <w:szCs w:val="24"/>
        </w:rPr>
        <w:t xml:space="preserve"> - Акт о приемке выполненных работ (форма № КС-2);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«КС-3»</w:t>
      </w:r>
      <w:r>
        <w:rPr>
          <w:bCs/>
          <w:sz w:val="24"/>
          <w:szCs w:val="24"/>
        </w:rPr>
        <w:t xml:space="preserve"> - справка о стоимости выполненных работ и затрат (форма № КС-3);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«СРО»</w:t>
      </w:r>
      <w:r>
        <w:rPr>
          <w:bCs/>
          <w:sz w:val="24"/>
          <w:szCs w:val="24"/>
        </w:rPr>
        <w:t xml:space="preserve"> - Саморегулируемая организация;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«Пожарная автоматика»</w:t>
      </w:r>
      <w:r>
        <w:rPr>
          <w:bCs/>
          <w:sz w:val="24"/>
          <w:szCs w:val="24"/>
        </w:rPr>
        <w:t xml:space="preserve"> - установки автоматической пожарной сигнализации, системы оповещения и управления эвакуацией при пожаре;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«ТМХ»</w:t>
      </w:r>
      <w:r>
        <w:rPr>
          <w:sz w:val="24"/>
          <w:szCs w:val="24"/>
        </w:rPr>
        <w:t xml:space="preserve"> - трансформаторно-маслянное хозяйство;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«РПБ»</w:t>
      </w:r>
      <w:r>
        <w:rPr>
          <w:sz w:val="24"/>
          <w:szCs w:val="24"/>
        </w:rPr>
        <w:t xml:space="preserve"> - Ремонтно-производственная база;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b/>
          <w:bCs/>
          <w:sz w:val="24"/>
          <w:szCs w:val="24"/>
        </w:rPr>
        <w:t>«СПКиОТ»</w:t>
      </w:r>
      <w:r>
        <w:rPr>
          <w:sz w:val="24"/>
          <w:szCs w:val="24"/>
        </w:rPr>
        <w:t xml:space="preserve"> - Служба производственного контроля и охраны труда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567" w:right="0" w:hanging="0"/>
        <w:contextualSpacing/>
        <w:rPr/>
      </w:pPr>
      <w:r>
        <w:rPr>
          <w:rStyle w:val="Style8"/>
          <w:i w:val="false"/>
          <w:sz w:val="24"/>
          <w:szCs w:val="24"/>
          <w:shd w:fill="auto" w:val="clear"/>
        </w:rPr>
        <w:t xml:space="preserve">«ПНР»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- пуско-наладочные работы.</w:t>
      </w:r>
    </w:p>
    <w:p>
      <w:pPr>
        <w:pStyle w:val="Normal"/>
        <w:rPr>
          <w:iCs/>
          <w:sz w:val="26"/>
          <w:szCs w:val="26"/>
        </w:rPr>
      </w:pPr>
      <w:r>
        <w:rPr/>
      </w:r>
    </w:p>
    <w:p>
      <w:pPr>
        <w:pStyle w:val="Normal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4"/>
        </w:numPr>
        <w:rPr>
          <w:b w:val="false"/>
        </w:rPr>
      </w:pPr>
      <w:r>
        <w:rPr/>
        <w:t>Наименование закупаемой продукции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ОКПД2 84.25.11.120 Монтаж пожарной сигнализации в административном здании, РПБ, ТМХ, гаражи, Республика Саха (Якутия), г. Якутск, ул. Автодорожная д. 26 (5 компл.) в рамках инвестиционного проекта  P_508-92421.</w:t>
      </w:r>
    </w:p>
    <w:p>
      <w:pPr>
        <w:pStyle w:val="Heading4"/>
        <w:numPr>
          <w:ilvl w:val="1"/>
          <w:numId w:val="4"/>
        </w:numPr>
        <w:spacing w:before="240" w:after="60"/>
        <w:ind w:left="431" w:right="0" w:hanging="431"/>
        <w:rPr/>
      </w:pPr>
      <w:bookmarkStart w:id="2" w:name="__RefHeading___Toc66534_4229055866"/>
      <w:bookmarkEnd w:id="2"/>
      <w:r>
        <w:rPr/>
        <w:t xml:space="preserve">Цель </w:t>
      </w:r>
      <w:r>
        <w:rPr>
          <w:lang w:val="ru-RU"/>
        </w:rPr>
        <w:t>использования закупаемой продукции</w:t>
      </w:r>
    </w:p>
    <w:p>
      <w:pPr>
        <w:pStyle w:val="BodyText"/>
        <w:spacing w:lineRule="auto" w:line="240" w:before="0" w:after="0"/>
        <w:ind w:left="0" w:right="0" w:firstLine="357"/>
        <w:rPr>
          <w:rFonts w:ascii="Times New Roman" w:hAnsi="Times New Roman" w:eastAsia="Times New Roman" w:cs="Times New Roman"/>
          <w:color w:val="auto"/>
          <w:sz w:val="24"/>
          <w:szCs w:val="24"/>
          <w:lang w:val="ru-RU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bidi="ar-SA"/>
        </w:rPr>
        <w:t>Проектирование и монтаж/</w:t>
      </w:r>
      <w:r>
        <w:rPr>
          <w:rFonts w:eastAsia="Times New Roman" w:cs="Times New Roman"/>
          <w:color w:val="auto"/>
          <w:sz w:val="24"/>
          <w:szCs w:val="24"/>
          <w:lang w:val="ru-RU" w:bidi="ar-SA"/>
        </w:rPr>
        <w:t xml:space="preserve">демонтаж </w:t>
      </w:r>
      <w:r>
        <w:rPr>
          <w:rFonts w:eastAsia="Times New Roman" w:cs="Times New Roman"/>
          <w:color w:val="auto"/>
          <w:sz w:val="24"/>
          <w:szCs w:val="24"/>
          <w:lang w:val="ru-RU" w:bidi="ar-SA"/>
        </w:rPr>
        <w:t xml:space="preserve">пожарной сигнализации </w:t>
      </w:r>
      <w:r>
        <w:rPr>
          <w:rFonts w:eastAsia="Times New Roman" w:cs="Times New Roman"/>
          <w:color w:val="auto"/>
          <w:sz w:val="24"/>
          <w:szCs w:val="24"/>
          <w:lang w:val="ru-RU" w:bidi="ar-SA"/>
        </w:rPr>
        <w:t xml:space="preserve">в </w:t>
      </w:r>
      <w:r>
        <w:rPr>
          <w:rFonts w:eastAsia="Times New Roman" w:cs="Times New Roman"/>
          <w:color w:val="auto"/>
          <w:sz w:val="24"/>
          <w:szCs w:val="24"/>
          <w:lang w:val="ru-RU" w:bidi="ar-SA"/>
        </w:rPr>
        <w:t>административно</w:t>
      </w:r>
      <w:r>
        <w:rPr>
          <w:rFonts w:eastAsia="Times New Roman" w:cs="Times New Roman"/>
          <w:color w:val="auto"/>
          <w:sz w:val="24"/>
          <w:szCs w:val="24"/>
          <w:lang w:val="ru-RU" w:bidi="ar-SA"/>
        </w:rPr>
        <w:t>м</w:t>
      </w:r>
      <w:r>
        <w:rPr>
          <w:rFonts w:eastAsia="Times New Roman" w:cs="Times New Roman"/>
          <w:color w:val="auto"/>
          <w:sz w:val="24"/>
          <w:szCs w:val="24"/>
          <w:lang w:val="ru-RU" w:bidi="ar-SA"/>
        </w:rPr>
        <w:t xml:space="preserve"> здании, РПБ, ТМХ, гаражи, Республика Саха (Якутия), г. Якутск в рамках инвестиционного проекта</w:t>
      </w:r>
    </w:p>
    <w:p>
      <w:pPr>
        <w:pStyle w:val="Heading4"/>
        <w:numPr>
          <w:ilvl w:val="1"/>
          <w:numId w:val="4"/>
        </w:numPr>
        <w:rPr/>
      </w:pPr>
      <w:r>
        <w:rPr/>
        <w:t>Существующее положение</w:t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-57" w:right="0" w:firstLine="397"/>
        <w:rPr>
          <w:rFonts w:ascii="Times New Roman" w:hAnsi="Times New Roman" w:eastAsia="Times New Roman" w:cs="Times New Roman"/>
          <w:b w:val="false"/>
          <w:bCs w:val="false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auto" w:val="clear"/>
          <w:lang w:val="ru-RU" w:eastAsia="zh-CN" w:bidi="ar-SA"/>
        </w:rPr>
        <w:t>Место производство работ: Республика Саха (Якутия), г. Якутск, пр-кт М. Е. Николаева, 26.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uppressAutoHyphens w:val="true"/>
        <w:bidi w:val="0"/>
        <w:ind w:left="0" w:right="0" w:firstLine="340"/>
        <w:jc w:val="both"/>
        <w:rPr/>
      </w:pP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zh-CN" w:bidi="ar-SA"/>
        </w:rPr>
        <w:t>В 2-х объектах отсутствует пожарная сигнализация, в остальных необходима модернизация и обновление системы пожарной сигнализации и оповещения о 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жаре.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uppressAutoHyphens w:val="true"/>
        <w:bidi w:val="0"/>
        <w:ind w:left="0" w:right="0" w:firstLine="3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 w:eastAsia="zh-CN" w:bidi="ar-SA"/>
        </w:rPr>
        <w:t>П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 w:eastAsia="zh-CN" w:bidi="ar-SA"/>
        </w:rPr>
        <w:t>роизводство работ выполняется в существующих зданиях и сооружениях, не освобожденных от оборудования и других предметов, мешающих нормальному оказанию услуг.</w:t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  <w:highlight w:val="none"/>
          <w:shd w:fill="auto" w:val="clear"/>
        </w:rPr>
      </w:pPr>
      <w:bookmarkStart w:id="3" w:name="_Toc54970179"/>
      <w:r>
        <w:rPr>
          <w:sz w:val="24"/>
          <w:szCs w:val="24"/>
          <w:shd w:fill="auto" w:val="clear"/>
        </w:rPr>
        <w:t>Таблица 1. Перечень объектов заказчика</w:t>
      </w:r>
      <w:bookmarkEnd w:id="3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316"/>
        <w:gridCol w:w="1957"/>
        <w:gridCol w:w="1985"/>
        <w:gridCol w:w="184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поставки МТР, производства работ,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работы, оказываются услуги)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5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rPr/>
            </w:pPr>
            <w:r>
              <w:rPr/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Административное здание РПБ, 4 этаж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ное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 xml:space="preserve"> ( с пристроем цех РМЦ)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ind w:left="0" w:right="0" w:firstLine="454"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ind w:left="0" w:right="0" w:firstLine="454"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ind w:left="0" w:right="0" w:firstLine="454"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ind w:left="0" w:right="0" w:firstLine="454"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 xml:space="preserve">г. Якутск,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ind w:left="0" w:right="0" w:firstLine="454"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пр-кт М. Николаева, 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1732,4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м2</w:t>
            </w:r>
          </w:p>
        </w:tc>
      </w:tr>
      <w:tr>
        <w:trPr>
          <w:trHeight w:val="4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rPr/>
            </w:pPr>
            <w:r>
              <w:rPr/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Производственное здание (административное) 2 этаж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 xml:space="preserve">ное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 xml:space="preserve">(с галереей) </w:t>
            </w:r>
          </w:p>
        </w:tc>
        <w:tc>
          <w:tcPr>
            <w:tcW w:w="19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632,8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м2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Здание ТМХ, 2 этаж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 xml:space="preserve">ное </w:t>
            </w:r>
          </w:p>
        </w:tc>
        <w:tc>
          <w:tcPr>
            <w:tcW w:w="19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445,4 м2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Гараж Канск</w:t>
            </w:r>
          </w:p>
        </w:tc>
        <w:tc>
          <w:tcPr>
            <w:tcW w:w="19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1070,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1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м2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Ремонтный гараж (гараж, ремонтный цех), 3 этаж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ное</w:t>
            </w:r>
          </w:p>
        </w:tc>
        <w:tc>
          <w:tcPr>
            <w:tcW w:w="19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1478,5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м2</w:t>
            </w:r>
          </w:p>
        </w:tc>
      </w:tr>
    </w:tbl>
    <w:p>
      <w:pPr>
        <w:pStyle w:val="Table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exact" w:line="247" w:before="0" w:after="0"/>
        <w:ind w:left="0" w:right="0" w:hanging="0"/>
        <w:jc w:val="both"/>
        <w:rPr>
          <w:sz w:val="24"/>
          <w:szCs w:val="24"/>
        </w:rPr>
      </w:pPr>
      <w:r>
        <w:rPr/>
      </w:r>
    </w:p>
    <w:p>
      <w:pPr>
        <w:pStyle w:val="Table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exact" w:line="247" w:before="0" w:after="0"/>
        <w:ind w:left="0" w:right="0" w:hanging="0"/>
        <w:jc w:val="both"/>
        <w:rPr>
          <w:sz w:val="24"/>
          <w:szCs w:val="24"/>
        </w:rPr>
      </w:pPr>
      <w:r>
        <w:rPr>
          <w:color w:val="0C0C0C"/>
          <w:spacing w:val="-6"/>
          <w:sz w:val="24"/>
          <w:szCs w:val="24"/>
        </w:rPr>
        <w:t xml:space="preserve">   </w:t>
      </w:r>
      <w:r>
        <w:rPr>
          <w:color w:val="0C0C0C"/>
          <w:spacing w:val="-6"/>
          <w:sz w:val="24"/>
          <w:szCs w:val="24"/>
        </w:rPr>
        <w:t>Составление</w:t>
      </w:r>
      <w:r>
        <w:rPr>
          <w:color w:val="0C0C0C"/>
          <w:spacing w:val="28"/>
          <w:sz w:val="24"/>
          <w:szCs w:val="24"/>
        </w:rPr>
        <w:t xml:space="preserve"> </w:t>
      </w:r>
      <w:r>
        <w:rPr>
          <w:color w:val="161616"/>
          <w:spacing w:val="-6"/>
          <w:sz w:val="24"/>
          <w:szCs w:val="24"/>
        </w:rPr>
        <w:t>проектной</w:t>
      </w:r>
      <w:r>
        <w:rPr>
          <w:color w:val="161616"/>
          <w:spacing w:val="20"/>
          <w:sz w:val="24"/>
          <w:szCs w:val="24"/>
        </w:rPr>
        <w:t xml:space="preserve"> </w:t>
      </w:r>
      <w:r>
        <w:rPr>
          <w:color w:val="111111"/>
          <w:spacing w:val="-6"/>
          <w:sz w:val="24"/>
          <w:szCs w:val="24"/>
        </w:rPr>
        <w:t>документаций,</w:t>
      </w:r>
      <w:r>
        <w:rPr>
          <w:color w:val="111111"/>
          <w:spacing w:val="33"/>
          <w:sz w:val="24"/>
          <w:szCs w:val="24"/>
        </w:rPr>
        <w:t xml:space="preserve"> </w:t>
      </w:r>
      <w:r>
        <w:rPr>
          <w:color w:val="111111"/>
          <w:spacing w:val="-6"/>
          <w:sz w:val="24"/>
          <w:szCs w:val="24"/>
        </w:rPr>
        <w:t>проводной</w:t>
      </w:r>
      <w:r>
        <w:rPr>
          <w:color w:val="111111"/>
          <w:spacing w:val="23"/>
          <w:sz w:val="24"/>
          <w:szCs w:val="24"/>
        </w:rPr>
        <w:t xml:space="preserve"> </w:t>
      </w:r>
      <w:r>
        <w:rPr>
          <w:color w:val="161616"/>
          <w:spacing w:val="-6"/>
          <w:sz w:val="24"/>
          <w:szCs w:val="24"/>
        </w:rPr>
        <w:t xml:space="preserve">системы </w:t>
      </w:r>
      <w:r>
        <w:rPr>
          <w:color w:val="0E0E0E"/>
          <w:spacing w:val="-4"/>
          <w:sz w:val="24"/>
          <w:szCs w:val="24"/>
        </w:rPr>
        <w:t>автоматической</w:t>
      </w:r>
      <w:r>
        <w:rPr>
          <w:color w:val="0E0E0E"/>
          <w:spacing w:val="-12"/>
          <w:sz w:val="24"/>
          <w:szCs w:val="24"/>
        </w:rPr>
        <w:t xml:space="preserve"> </w:t>
      </w:r>
      <w:r>
        <w:rPr>
          <w:color w:val="0F0F0F"/>
          <w:spacing w:val="-4"/>
          <w:sz w:val="24"/>
          <w:szCs w:val="24"/>
        </w:rPr>
        <w:t>пожарной</w:t>
      </w:r>
      <w:r>
        <w:rPr>
          <w:color w:val="0F0F0F"/>
          <w:spacing w:val="-12"/>
          <w:sz w:val="24"/>
          <w:szCs w:val="24"/>
        </w:rPr>
        <w:t xml:space="preserve"> </w:t>
      </w:r>
      <w:r>
        <w:rPr>
          <w:color w:val="151515"/>
          <w:spacing w:val="-4"/>
          <w:sz w:val="24"/>
          <w:szCs w:val="24"/>
        </w:rPr>
        <w:t>сигнализации</w:t>
      </w:r>
      <w:r>
        <w:rPr>
          <w:color w:val="151515"/>
          <w:spacing w:val="-11"/>
          <w:sz w:val="24"/>
          <w:szCs w:val="24"/>
        </w:rPr>
        <w:t xml:space="preserve"> </w:t>
      </w:r>
      <w:r>
        <w:rPr>
          <w:color w:val="262626"/>
          <w:spacing w:val="-4"/>
          <w:sz w:val="24"/>
          <w:szCs w:val="24"/>
        </w:rPr>
        <w:t>с</w:t>
      </w:r>
      <w:r>
        <w:rPr>
          <w:color w:val="262626"/>
          <w:spacing w:val="-12"/>
          <w:sz w:val="24"/>
          <w:szCs w:val="24"/>
        </w:rPr>
        <w:t xml:space="preserve"> </w:t>
      </w:r>
      <w:r>
        <w:rPr>
          <w:color w:val="1A1A1A"/>
          <w:spacing w:val="-4"/>
          <w:sz w:val="24"/>
          <w:szCs w:val="24"/>
        </w:rPr>
        <w:t>прокладкой</w:t>
      </w:r>
      <w:r>
        <w:rPr>
          <w:color w:val="1A1A1A"/>
          <w:spacing w:val="-1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 xml:space="preserve">новой </w:t>
      </w:r>
      <w:r>
        <w:rPr>
          <w:color w:val="111111"/>
          <w:sz w:val="24"/>
          <w:szCs w:val="24"/>
        </w:rPr>
        <w:t xml:space="preserve">кабельной </w:t>
      </w:r>
      <w:r>
        <w:rPr>
          <w:color w:val="1C1C1C"/>
          <w:sz w:val="24"/>
          <w:szCs w:val="24"/>
        </w:rPr>
        <w:t xml:space="preserve">трассы </w:t>
      </w:r>
      <w:r>
        <w:rPr>
          <w:color w:val="0C0C0C"/>
          <w:sz w:val="24"/>
          <w:szCs w:val="24"/>
        </w:rPr>
        <w:t xml:space="preserve">по </w:t>
      </w:r>
      <w:r>
        <w:rPr>
          <w:color w:val="131313"/>
          <w:sz w:val="24"/>
          <w:szCs w:val="24"/>
        </w:rPr>
        <w:t xml:space="preserve">коридорах </w:t>
      </w:r>
      <w:r>
        <w:rPr>
          <w:color w:val="262626"/>
          <w:sz w:val="24"/>
          <w:szCs w:val="24"/>
        </w:rPr>
        <w:t xml:space="preserve">и </w:t>
      </w:r>
      <w:r>
        <w:rPr>
          <w:color w:val="2D2D2D"/>
          <w:sz w:val="24"/>
          <w:szCs w:val="24"/>
        </w:rPr>
        <w:t xml:space="preserve">по </w:t>
      </w:r>
      <w:r>
        <w:rPr>
          <w:color w:val="151515"/>
          <w:sz w:val="24"/>
          <w:szCs w:val="24"/>
        </w:rPr>
        <w:t xml:space="preserve">помещениях </w:t>
      </w:r>
      <w:r>
        <w:rPr>
          <w:color w:val="232323"/>
          <w:sz w:val="24"/>
          <w:szCs w:val="24"/>
        </w:rPr>
        <w:t xml:space="preserve">над </w:t>
      </w:r>
      <w:r>
        <w:rPr>
          <w:sz w:val="24"/>
          <w:szCs w:val="24"/>
        </w:rPr>
        <w:t xml:space="preserve">потолочным пространством которая </w:t>
      </w:r>
      <w:r>
        <w:rPr>
          <w:color w:val="1F1F1F"/>
          <w:sz w:val="24"/>
          <w:szCs w:val="24"/>
        </w:rPr>
        <w:t xml:space="preserve">будет основным </w:t>
      </w:r>
      <w:r>
        <w:rPr>
          <w:color w:val="1C1C1C"/>
          <w:sz w:val="24"/>
          <w:szCs w:val="24"/>
        </w:rPr>
        <w:t>техническим</w:t>
      </w:r>
      <w:r>
        <w:rPr>
          <w:color w:val="1C1C1C"/>
          <w:spacing w:val="-1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паспортом</w:t>
      </w:r>
      <w:r>
        <w:rPr>
          <w:color w:val="0E0E0E"/>
          <w:spacing w:val="-16"/>
          <w:sz w:val="24"/>
          <w:szCs w:val="24"/>
        </w:rPr>
        <w:t xml:space="preserve"> </w:t>
      </w:r>
      <w:r>
        <w:rPr>
          <w:color w:val="1C1C1C"/>
          <w:sz w:val="24"/>
          <w:szCs w:val="24"/>
        </w:rPr>
        <w:t>системы.</w:t>
      </w:r>
      <w:r>
        <w:rPr>
          <w:color w:val="1C1C1C"/>
          <w:spacing w:val="-15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Проект</w:t>
      </w:r>
      <w:r>
        <w:rPr>
          <w:color w:val="111111"/>
          <w:spacing w:val="-16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необходим</w:t>
      </w:r>
      <w:r>
        <w:rPr>
          <w:color w:val="0C0C0C"/>
          <w:spacing w:val="-16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для </w:t>
      </w:r>
      <w:r>
        <w:rPr>
          <w:color w:val="0C0C0C"/>
          <w:sz w:val="24"/>
          <w:szCs w:val="24"/>
        </w:rPr>
        <w:t xml:space="preserve">проведения </w:t>
      </w:r>
      <w:r>
        <w:rPr>
          <w:color w:val="1F1F1F"/>
          <w:sz w:val="24"/>
          <w:szCs w:val="24"/>
        </w:rPr>
        <w:t xml:space="preserve">всех </w:t>
      </w:r>
      <w:r>
        <w:rPr>
          <w:color w:val="161616"/>
          <w:sz w:val="24"/>
          <w:szCs w:val="24"/>
        </w:rPr>
        <w:t xml:space="preserve">дальнейших </w:t>
      </w:r>
      <w:r>
        <w:rPr>
          <w:color w:val="131313"/>
          <w:sz w:val="24"/>
          <w:szCs w:val="24"/>
        </w:rPr>
        <w:t xml:space="preserve">работ: монтажных, </w:t>
      </w:r>
      <w:r>
        <w:rPr>
          <w:color w:val="181818"/>
          <w:sz w:val="24"/>
          <w:szCs w:val="24"/>
        </w:rPr>
        <w:t xml:space="preserve">пусконаладочных </w:t>
      </w:r>
      <w:r>
        <w:rPr>
          <w:color w:val="1C1C1C"/>
          <w:sz w:val="24"/>
          <w:szCs w:val="24"/>
        </w:rPr>
        <w:t xml:space="preserve">(ПHP) </w:t>
      </w:r>
      <w:r>
        <w:rPr>
          <w:color w:val="161616"/>
          <w:sz w:val="24"/>
          <w:szCs w:val="24"/>
        </w:rPr>
        <w:t xml:space="preserve">и </w:t>
      </w:r>
      <w:r>
        <w:rPr>
          <w:color w:val="111111"/>
          <w:sz w:val="24"/>
          <w:szCs w:val="24"/>
        </w:rPr>
        <w:t xml:space="preserve">ввода </w:t>
      </w:r>
      <w:r>
        <w:rPr>
          <w:color w:val="2A2A2A"/>
          <w:sz w:val="24"/>
          <w:szCs w:val="24"/>
        </w:rPr>
        <w:t xml:space="preserve">в </w:t>
      </w:r>
      <w:r>
        <w:rPr>
          <w:color w:val="0F0F0F"/>
          <w:sz w:val="24"/>
          <w:szCs w:val="24"/>
        </w:rPr>
        <w:t xml:space="preserve">эксплуатацию, </w:t>
      </w:r>
      <w:r>
        <w:rPr>
          <w:color w:val="181818"/>
          <w:sz w:val="24"/>
          <w:szCs w:val="24"/>
        </w:rPr>
        <w:t xml:space="preserve">а </w:t>
      </w:r>
      <w:r>
        <w:rPr>
          <w:color w:val="161616"/>
          <w:sz w:val="24"/>
          <w:szCs w:val="24"/>
        </w:rPr>
        <w:t>также</w:t>
      </w:r>
      <w:r>
        <w:rPr>
          <w:color w:val="161616"/>
          <w:spacing w:val="-1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-16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дальнейшего</w:t>
      </w:r>
      <w:r>
        <w:rPr>
          <w:color w:val="0C0C0C"/>
          <w:spacing w:val="-7"/>
          <w:sz w:val="24"/>
          <w:szCs w:val="24"/>
        </w:rPr>
        <w:t xml:space="preserve"> </w:t>
      </w:r>
      <w:r>
        <w:rPr>
          <w:color w:val="0A0A0A"/>
          <w:sz w:val="24"/>
          <w:szCs w:val="24"/>
        </w:rPr>
        <w:t>гарантийного</w:t>
      </w:r>
      <w:r>
        <w:rPr>
          <w:color w:val="0A0A0A"/>
          <w:spacing w:val="-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и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 xml:space="preserve">послегарантийного </w:t>
      </w:r>
      <w:r>
        <w:rPr>
          <w:color w:val="111111"/>
          <w:spacing w:val="-2"/>
          <w:sz w:val="24"/>
          <w:szCs w:val="24"/>
        </w:rPr>
        <w:t>обслуживания.</w:t>
      </w:r>
    </w:p>
    <w:p>
      <w:pPr>
        <w:pStyle w:val="Table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35" w:before="25" w:after="0"/>
        <w:ind w:left="0" w:right="113" w:hanging="0"/>
        <w:jc w:val="both"/>
        <w:rPr>
          <w:sz w:val="24"/>
          <w:szCs w:val="24"/>
        </w:rPr>
      </w:pPr>
      <w:r>
        <w:rPr>
          <w:color w:val="111111"/>
          <w:spacing w:val="-2"/>
          <w:sz w:val="24"/>
          <w:szCs w:val="24"/>
        </w:rPr>
        <w:t xml:space="preserve">   </w:t>
      </w:r>
      <w:r>
        <w:rPr>
          <w:color w:val="111111"/>
          <w:spacing w:val="-2"/>
          <w:sz w:val="24"/>
          <w:szCs w:val="24"/>
        </w:rPr>
        <w:t xml:space="preserve">Демонтаж </w:t>
      </w:r>
      <w:r>
        <w:rPr>
          <w:color w:val="131313"/>
          <w:spacing w:val="-2"/>
          <w:sz w:val="24"/>
          <w:szCs w:val="24"/>
        </w:rPr>
        <w:t xml:space="preserve">ранее </w:t>
      </w:r>
      <w:r>
        <w:rPr>
          <w:color w:val="0F0F0F"/>
          <w:spacing w:val="-2"/>
          <w:sz w:val="24"/>
          <w:szCs w:val="24"/>
        </w:rPr>
        <w:t xml:space="preserve">установленных </w:t>
      </w:r>
      <w:r>
        <w:rPr>
          <w:color w:val="1C1C1C"/>
          <w:spacing w:val="-2"/>
          <w:sz w:val="24"/>
          <w:szCs w:val="24"/>
        </w:rPr>
        <w:t xml:space="preserve">систем </w:t>
      </w:r>
      <w:r>
        <w:rPr>
          <w:color w:val="111111"/>
          <w:spacing w:val="-2"/>
          <w:sz w:val="24"/>
          <w:szCs w:val="24"/>
        </w:rPr>
        <w:t xml:space="preserve">пожарной </w:t>
      </w:r>
      <w:r>
        <w:rPr>
          <w:color w:val="131313"/>
          <w:spacing w:val="-2"/>
          <w:sz w:val="24"/>
          <w:szCs w:val="24"/>
        </w:rPr>
        <w:t xml:space="preserve">сигнализации, </w:t>
      </w:r>
      <w:r>
        <w:rPr>
          <w:color w:val="0F0F0F"/>
          <w:spacing w:val="-2"/>
          <w:sz w:val="24"/>
          <w:szCs w:val="24"/>
        </w:rPr>
        <w:t xml:space="preserve">монтажные </w:t>
      </w:r>
      <w:r>
        <w:rPr>
          <w:color w:val="0E0E0E"/>
          <w:spacing w:val="-2"/>
          <w:sz w:val="24"/>
          <w:szCs w:val="24"/>
        </w:rPr>
        <w:t xml:space="preserve">работы </w:t>
      </w:r>
      <w:r>
        <w:rPr>
          <w:color w:val="2D2D2D"/>
          <w:spacing w:val="-2"/>
          <w:sz w:val="24"/>
          <w:szCs w:val="24"/>
        </w:rPr>
        <w:t xml:space="preserve">с </w:t>
      </w:r>
      <w:r>
        <w:rPr>
          <w:color w:val="1A1A1A"/>
          <w:spacing w:val="-2"/>
          <w:sz w:val="24"/>
          <w:szCs w:val="24"/>
        </w:rPr>
        <w:t xml:space="preserve">составлением </w:t>
      </w:r>
      <w:r>
        <w:rPr>
          <w:color w:val="111111"/>
          <w:spacing w:val="-2"/>
          <w:sz w:val="24"/>
          <w:szCs w:val="24"/>
        </w:rPr>
        <w:t>соответствующих</w:t>
      </w:r>
      <w:r>
        <w:rPr>
          <w:color w:val="111111"/>
          <w:spacing w:val="-14"/>
          <w:sz w:val="24"/>
          <w:szCs w:val="24"/>
        </w:rPr>
        <w:t xml:space="preserve"> </w:t>
      </w:r>
      <w:r>
        <w:rPr>
          <w:color w:val="161616"/>
          <w:spacing w:val="-2"/>
          <w:sz w:val="24"/>
          <w:szCs w:val="24"/>
        </w:rPr>
        <w:t>актов</w:t>
      </w:r>
      <w:r>
        <w:rPr>
          <w:color w:val="161616"/>
          <w:spacing w:val="-4"/>
          <w:sz w:val="24"/>
          <w:szCs w:val="24"/>
        </w:rPr>
        <w:t xml:space="preserve"> </w:t>
      </w:r>
      <w:r>
        <w:rPr>
          <w:color w:val="262626"/>
          <w:spacing w:val="-2"/>
          <w:sz w:val="24"/>
          <w:szCs w:val="24"/>
        </w:rPr>
        <w:t>и</w:t>
      </w:r>
      <w:r>
        <w:rPr>
          <w:color w:val="262626"/>
          <w:spacing w:val="-14"/>
          <w:sz w:val="24"/>
          <w:szCs w:val="24"/>
        </w:rPr>
        <w:t xml:space="preserve"> </w:t>
      </w:r>
      <w:r>
        <w:rPr>
          <w:color w:val="181818"/>
          <w:spacing w:val="-2"/>
          <w:sz w:val="24"/>
          <w:szCs w:val="24"/>
        </w:rPr>
        <w:t>другой</w:t>
      </w:r>
      <w:r>
        <w:rPr>
          <w:color w:val="181818"/>
          <w:spacing w:val="-6"/>
          <w:sz w:val="24"/>
          <w:szCs w:val="24"/>
        </w:rPr>
        <w:t xml:space="preserve"> </w:t>
      </w:r>
      <w:r>
        <w:rPr>
          <w:color w:val="111111"/>
          <w:spacing w:val="-2"/>
          <w:sz w:val="24"/>
          <w:szCs w:val="24"/>
        </w:rPr>
        <w:t>документации.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/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1.5.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Основание для выполнения работы: 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заявка на инвестиционный проект 2026 г.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/>
      </w:pPr>
      <w:r>
        <w:rPr/>
      </w:r>
    </w:p>
    <w:p>
      <w:pPr>
        <w:pStyle w:val="Heading1"/>
        <w:keepLines/>
        <w:numPr>
          <w:ilvl w:val="0"/>
          <w:numId w:val="4"/>
        </w:numPr>
        <w:ind w:left="357" w:right="0" w:hanging="357"/>
        <w:jc w:val="center"/>
        <w:rPr>
          <w:iCs/>
        </w:rPr>
      </w:pPr>
      <w:bookmarkStart w:id="4" w:name="__RefHeading___Toc66538_4229055866"/>
      <w:bookmarkEnd w:id="4"/>
      <w:r>
        <w:rPr>
          <w:iCs/>
        </w:rPr>
        <w:t>Требования к продукции</w:t>
      </w:r>
    </w:p>
    <w:p>
      <w:pPr>
        <w:pStyle w:val="Heading4"/>
        <w:numPr>
          <w:ilvl w:val="1"/>
          <w:numId w:val="4"/>
        </w:numPr>
        <w:rPr>
          <w:color w:val="auto"/>
        </w:rPr>
      </w:pPr>
      <w:bookmarkStart w:id="5" w:name="__RefHeading___Toc66540_4229055866"/>
      <w:bookmarkEnd w:id="5"/>
      <w:r>
        <w:rPr>
          <w:color w:val="auto"/>
        </w:rPr>
        <w:t xml:space="preserve">Требования к объемам и срокам </w:t>
      </w:r>
      <w:r>
        <w:rPr>
          <w:color w:val="auto"/>
          <w:lang w:val="ru-RU"/>
        </w:rPr>
        <w:t>выполнения работ</w:t>
      </w:r>
    </w:p>
    <w:p>
      <w:pPr>
        <w:pStyle w:val="Heading1"/>
        <w:keepLines/>
        <w:tabs>
          <w:tab w:val="clear" w:pos="0"/>
        </w:tabs>
        <w:spacing w:before="240" w:after="60"/>
        <w:ind w:left="0" w:right="0" w:hanging="0"/>
        <w:rPr/>
      </w:pPr>
      <w:bookmarkStart w:id="6" w:name="__RefHeading___Toc66544_4229055866"/>
      <w:bookmarkEnd w:id="6"/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  <w:lang w:val="ru-RU"/>
        </w:rPr>
        <w:t>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Перечень и объем </w:t>
      </w:r>
      <w:r>
        <w:rPr>
          <w:color w:val="auto"/>
          <w:sz w:val="24"/>
          <w:szCs w:val="24"/>
          <w:lang w:val="ru-RU"/>
        </w:rPr>
        <w:t>выполняемых работ</w:t>
      </w:r>
    </w:p>
    <w:tbl>
      <w:tblPr>
        <w:tblW w:w="91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584"/>
        <w:gridCol w:w="1083"/>
        <w:gridCol w:w="1823"/>
      </w:tblGrid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Ед. изм-ия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>
        <w:trPr>
          <w:trHeight w:val="296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Усл.ед.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Монтаж и демонтаж системы ОПС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Усл.ед.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Пусконаладочные работы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Усл.ед.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rPr>
          <w:bCs/>
          <w:i/>
          <w:i/>
          <w:color w:val="auto"/>
          <w:sz w:val="20"/>
          <w:szCs w:val="24"/>
          <w:shd w:fill="FFFF99" w:val="clear"/>
        </w:rPr>
      </w:pPr>
      <w:r>
        <w:rPr>
          <w:bCs/>
          <w:i/>
          <w:color w:val="000000"/>
          <w:sz w:val="20"/>
          <w:szCs w:val="24"/>
          <w:shd w:fill="FFFF99" w:val="clear"/>
        </w:rPr>
      </w:r>
    </w:p>
    <w:p>
      <w:pPr>
        <w:pStyle w:val="Heading3"/>
        <w:numPr>
          <w:ilvl w:val="2"/>
          <w:numId w:val="4"/>
        </w:numPr>
        <w:rPr>
          <w:lang w:val="ru-RU"/>
        </w:rPr>
      </w:pPr>
      <w:r>
        <w:rPr>
          <w:lang w:val="ru-RU"/>
        </w:rPr>
        <w:t>Требования к срокам поставки продукции и оказания сопутствующих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 xml:space="preserve">  </w:t>
      </w:r>
      <w:bookmarkStart w:id="7" w:name="_Hlk50465284"/>
      <w:r>
        <w:rPr>
          <w:sz w:val="24"/>
          <w:szCs w:val="24"/>
        </w:rPr>
        <w:t xml:space="preserve">Требования по срокам </w:t>
      </w:r>
      <w:r>
        <w:rPr>
          <w:sz w:val="24"/>
          <w:szCs w:val="24"/>
          <w:lang w:val="ru-RU"/>
        </w:rPr>
        <w:t xml:space="preserve">выполнения работ </w:t>
      </w:r>
      <w:r>
        <w:rPr>
          <w:sz w:val="24"/>
          <w:szCs w:val="24"/>
        </w:rPr>
        <w:t xml:space="preserve"> </w:t>
      </w:r>
      <w:bookmarkEnd w:id="7"/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948"/>
        <w:gridCol w:w="2982"/>
        <w:gridCol w:w="3118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23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napToGrid w:val="false"/>
              <w:rPr/>
            </w:pPr>
            <w:r>
              <w:rPr/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До </w:t>
            </w:r>
            <w:r>
              <w:rPr>
                <w:iCs/>
                <w:sz w:val="24"/>
                <w:szCs w:val="24"/>
              </w:rPr>
              <w:t>30</w:t>
            </w:r>
            <w:r>
              <w:rPr>
                <w:iCs/>
                <w:sz w:val="24"/>
                <w:szCs w:val="24"/>
              </w:rPr>
              <w:t>.09.2026</w:t>
            </w:r>
          </w:p>
        </w:tc>
      </w:tr>
      <w:tr>
        <w:trPr>
          <w:trHeight w:val="423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napToGrid w:val="false"/>
              <w:rPr/>
            </w:pPr>
            <w:r>
              <w:rPr/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Монтаж и демонтаж системы ОПС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</w:t>
            </w:r>
            <w:r>
              <w:rPr>
                <w:iCs/>
                <w:sz w:val="24"/>
                <w:szCs w:val="24"/>
              </w:rPr>
              <w:t>.09.2026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До </w:t>
            </w:r>
            <w:r>
              <w:rPr>
                <w:iCs/>
                <w:sz w:val="24"/>
                <w:szCs w:val="24"/>
              </w:rPr>
              <w:t>06</w:t>
            </w:r>
            <w:r>
              <w:rPr>
                <w:iCs/>
                <w:sz w:val="24"/>
                <w:szCs w:val="24"/>
              </w:rPr>
              <w:t>.1</w:t>
            </w:r>
            <w:r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.2026</w:t>
            </w:r>
          </w:p>
        </w:tc>
      </w:tr>
      <w:tr>
        <w:trPr>
          <w:trHeight w:val="423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napToGrid w:val="false"/>
              <w:rPr/>
            </w:pPr>
            <w:r>
              <w:rPr/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Пусконаладочные работы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</w:t>
            </w:r>
            <w:r>
              <w:rPr>
                <w:iCs/>
                <w:sz w:val="24"/>
                <w:szCs w:val="24"/>
              </w:rPr>
              <w:t>.1</w:t>
            </w:r>
            <w:r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.2026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До </w:t>
            </w:r>
            <w:r>
              <w:rPr>
                <w:iCs/>
                <w:sz w:val="24"/>
                <w:szCs w:val="24"/>
              </w:rPr>
              <w:t>15</w:t>
            </w:r>
            <w:r>
              <w:rPr>
                <w:iCs/>
                <w:sz w:val="24"/>
                <w:szCs w:val="24"/>
              </w:rPr>
              <w:t>.12.2026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rPr>
          <w:sz w:val="24"/>
          <w:szCs w:val="24"/>
        </w:rPr>
      </w:pPr>
      <w:bookmarkStart w:id="8" w:name="__RefHeading___Toc75446580"/>
      <w:bookmarkEnd w:id="8"/>
      <w:r>
        <w:rPr>
          <w:b w:val="false"/>
          <w:bCs w:val="false"/>
        </w:rPr>
        <w:t xml:space="preserve">2.2 </w:t>
      </w:r>
      <w:r>
        <w:rPr/>
        <w:t xml:space="preserve">Требования к </w:t>
      </w:r>
      <w:r>
        <w:rPr>
          <w:lang w:val="ru-RU"/>
        </w:rPr>
        <w:t xml:space="preserve">качеству </w:t>
      </w:r>
      <w:r>
        <w:rPr>
          <w:lang w:val="ru-RU"/>
        </w:rPr>
        <w:t>работ</w:t>
      </w:r>
    </w:p>
    <w:p>
      <w:pPr>
        <w:pStyle w:val="Heading1"/>
        <w:ind w:left="1224" w:right="0" w:hanging="504"/>
        <w:rPr>
          <w:bCs/>
          <w:iCs/>
          <w:sz w:val="24"/>
          <w:szCs w:val="24"/>
          <w:shd w:fill="auto" w:val="clear"/>
        </w:rPr>
      </w:pPr>
      <w:bookmarkStart w:id="9" w:name="__RefHeading___Toc66552_4229055866"/>
      <w:bookmarkEnd w:id="9"/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качеству </w:t>
      </w:r>
      <w:r>
        <w:rPr>
          <w:sz w:val="24"/>
          <w:szCs w:val="24"/>
          <w:lang w:val="ru-RU"/>
        </w:rPr>
        <w:t>работ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Cs/>
          <w:iCs/>
          <w:sz w:val="24"/>
          <w:szCs w:val="24"/>
          <w:shd w:fill="auto" w:val="clear"/>
        </w:rPr>
      </w:pPr>
      <w:r>
        <w:rPr>
          <w:rStyle w:val="Style8"/>
          <w:bCs/>
          <w:iCs/>
          <w:sz w:val="24"/>
          <w:szCs w:val="24"/>
          <w:shd w:fill="auto" w:val="clear"/>
        </w:rPr>
        <w:t xml:space="preserve">Наименование продукции: </w:t>
      </w:r>
      <w:r>
        <w:rPr>
          <w:rStyle w:val="Style8"/>
          <w:rFonts w:eastAsia="Times New Roman" w:cs="Times New Roman"/>
          <w:bCs/>
          <w:iCs/>
          <w:color w:val="000000"/>
          <w:sz w:val="24"/>
          <w:szCs w:val="24"/>
          <w:shd w:fill="auto" w:val="clear"/>
          <w:lang w:val="ru-RU" w:eastAsia="zh-CN" w:bidi="ar-SA"/>
        </w:rPr>
        <w:t>ОКПД2 84.25.11.120 Монтаж пожарной сигнализации в административном здании, РПБ, ТМХ, гаражи, Республика Саха (Якутия), г. Якутск, ул. Автодорожная д. 26 (5 компл.) в рамках инвестиционного проекта  P_508-92421.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0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42"/>
        <w:gridCol w:w="2066"/>
        <w:gridCol w:w="8380"/>
        <w:gridCol w:w="1794"/>
        <w:gridCol w:w="2044"/>
      </w:tblGrid>
      <w:tr>
        <w:trPr/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Весь комплекс работ выполняется в соответствии с настоящими Техническими Требованиями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Технические решения должны быть направлены на совершенствование систем и установок безопасности учреждения при руководстве в проектировании следующими нормативными документами: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Федеральный закон Технический регламент о требованиях пожарной безопасности» от 22.07.2008 №123-ФЗ;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СП 3.13130 «Системы противопожарной защиты. Система оповещения и управления эвакуацией людей при пожаре. Требования пожарной безопасности», Приказ МЧС России №133 от 26.02.2026;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 484.1311500.2020 «Системы противопожарной защиты. Системы пожарной сигнализации и автоматизации систем противопожарной защиты. Нормы и правила проектирования», Приказ МЧС России №582 от 31.07.2020;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 486.1311500.2020. «Перечень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СП 6.13130.2021 «Системы противопожарной защиты. Электроустановки низковольтные. Требования пожарной безопасности»;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ГОСТ 12.1.019-2017 «Межгосударственный стандарт. Система стандартов безопасности труда. Электробезопасность. Общие требования и номенклатура видов защиты»;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СП 12.13130.2009 «Определение категорий помещений, зданий и наружных установок по взрывопожарной и пожарной опасности»;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 25.964-90 «Система технического обслуживания и ремонта автоматических установок пожаротушения, дымоудаления, пожарной и охранно-пожарной сигнализации. Организация и порядок проведения работ»;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стандарт РФ ГОСТ Р 12.3.047-2012 «Система стандартов безопасности труда. Пожарная безопасность технологических процессов. Общие требования. Методы контроля».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стандарт РФ ГОСТ Р 53325-2012 «техника пожарная. Технические средства пожарной автоматики. Общие технические требования. Методы испытаний.»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 Р 21.101-2020 Основные требования к проектной и рабочей документации. Национальный стандарт Российской. Система проектной документации для строительства;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ГОСТ Р 21.101-2020 «Система проектной документации для строительства. Основные требования к проектной и рабочей документации»;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31565-2012 «Кабельные изделия. Требования пожарной безопасности»;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Постановление РФ №87 от 16.02.2008 (ред. От 21.04.2018)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СП56.13330.2011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ГОСТ Р 12.3.047-2012 «Система стандартов безопасности труда. Пожарная безопасность технологических процессов. Общие требования.  Методы контроля».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СП 3.13130.2026. «Системы противопожарной защиты. Система оповещения и управления эвакуацией людей при пожаре. Требования пожарной безопасности».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СП 6.13130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Правилами устройства электроустановок (ПУЭ), изд.6,7.</w:t>
            </w:r>
          </w:p>
        </w:tc>
        <w:tc>
          <w:tcPr>
            <w:tcW w:w="17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_RefHeading___Toc15851_2903166146"/>
            <w:bookmarkStart w:id="11" w:name="__RefHeading___Toc15851_2903166146"/>
            <w:bookmarkEnd w:id="11"/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объекты, объемы и материалы входящие в состав проекта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Административное здание РПБ, 4 этажное ( с пристроем цех РМЦ)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Производственное здание (административное) 2 этажное (с галереей)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ТМХ, 2 этажное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Канск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Ремонтный гараж (гараж, ремонтный цех), 3 этажное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ИСМ РГ-00-032.06-24 «Регламентом допуска подрядных организаций к выполнению работ на объектах ПАО «Якутскэнерго».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выполнения работ: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-разработка  и согласование</w:t>
              <w:tab/>
              <w:t>проекта производства работ (ППР);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-определение и согласование со службами заказчика мест подключения временных коммуникаций (технические условия на подключения выдаются после получения от подрядчика официального запроса с указанием потребных ресурсов в количественных и качественных показателях);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и проведение совместного технического совещания с участием служб заказчика, подрядчика и проектировщика по вопросам организации и осуществления монтажного контроля, технического и авторского надзора за ходом работ;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персонала подрядчика бытовыми помещениями (установка передвижных временные зданий или оформление аренды помещений заказчика при наличии такой возможности), определение мест для складирования материала и инструмента;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инженерная подготовка и оборудование рабочей площадки (устройство сетей энергоснабжения, вентиляции, защита имущества заказчика от строительной пыли и т.п.), монтаж ограждений, переходов, лестниц и т.д.;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закуска и доставка оборудования, материалов и изделий на место производства работ;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-осуществление монтажного контроля подрядчиком в соответствии с Постановлением Правительства РФ № 468 от 21.06.2010 г. с ведением журналов работ и оформлением актов согласно РД-11-02-2006 и РД-11-05-2007;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аккредитованной лаборатории по оценке качества работ или договора со специализированной организацией на выполнение работ по оценке качества продукции;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у Подрядчика службы по охране труда и технике безопасности;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закупка и доставка оборудования, материалов и изделий на место производства работ;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-подготовка объекта к сдаче-приемке: демонтаж временных сетей, бытовых и подсобных помещений, разборка ограждений, вывоз с территории</w:t>
              <w:tab/>
              <w:t xml:space="preserve"> оборудования, инструмента, строительного мусора, уборка объекта.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_RefHeading___Toc15853_2903166146"/>
            <w:bookmarkStart w:id="13" w:name="__RefHeading___Toc15853_2903166146"/>
            <w:bookmarkEnd w:id="13"/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Выполнение проектных работ должно осуществляться силами: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специалист-проектировщик — не менее 3 чел. С высшим образованием по специальности или направлению подготовки в области строительства соответствующего профиля;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руководителя работ — не менее 2 чел. С высшими образованиями по специальности или направлению подготовки в области строительства.</w:t>
            </w:r>
          </w:p>
          <w:p>
            <w:pPr>
              <w:pStyle w:val="TableParagraph"/>
              <w:widowControl w:val="false"/>
              <w:spacing w:lineRule="exact" w:line="250"/>
              <w:ind w:left="13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C1C1C"/>
                <w:sz w:val="24"/>
                <w:szCs w:val="24"/>
                <w:lang w:val="ru-RU" w:eastAsia="en-US" w:bidi="ar-SA"/>
              </w:rPr>
              <w:t>Работники,  которые  имеют право выдачи нарядов, руководителей работ, членов бригады, их должности и группы по электробезопасности, группы при работе на высоте с предоставлением удостоверения.</w:t>
            </w:r>
          </w:p>
          <w:p>
            <w:pPr>
              <w:pStyle w:val="TableParagraph"/>
              <w:widowControl w:val="false"/>
              <w:spacing w:lineRule="auto" w:line="240"/>
              <w:ind w:left="125" w:right="9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C1C1C"/>
                <w:sz w:val="24"/>
                <w:szCs w:val="24"/>
                <w:lang w:val="ru-RU" w:eastAsia="en-US" w:bidi="ar-SA"/>
              </w:rPr>
              <w:t>Специалист по ОТ и ТБ или лица, ответственного за ОТ и ТБ.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27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ind w:left="122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61616"/>
                <w:sz w:val="24"/>
                <w:szCs w:val="24"/>
                <w:lang w:val="ru-RU" w:eastAsia="en-US" w:bidi="ar-SA"/>
              </w:rPr>
              <w:t>Наличие  у  Участника  опыта  выполнения  работ по монтажу пожарной сигнализации, при этом Участником должны быть исполнены обязательства по таким договорам в суммарном объеме не менее чем 30% от начальной максимальной цепы договора, указанной в Извещении, за последние 5 (пять) лет, предшествующие дате окончания срока подачи заявок на участие в конкурентной закупке. 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Участника, приведенный в документации о закупке, с приложением скан-копий договоров, либо их частей (с приложением документов,</w:t>
              <w:tab/>
              <w:t>предусмотренных требованиями договора, подтверждающие факт его исполнения), подтверждающие представленные в форме данные.</w:t>
            </w:r>
          </w:p>
        </w:tc>
        <w:tc>
          <w:tcPr>
            <w:tcW w:w="1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22" w:right="0" w:hanging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spacing w:val="-2"/>
                <w:sz w:val="24"/>
                <w:szCs w:val="24"/>
                <w:lang w:val="ru-RU" w:eastAsia="en-US" w:bidi="ar-SA"/>
              </w:rPr>
              <w:t>Наличие лицензий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3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en-US" w:bidi="ar-SA"/>
              </w:rPr>
              <w:t>Наличие действующей лицензии МЧС России ва данный</w:t>
            </w:r>
          </w:p>
          <w:p>
            <w:pPr>
              <w:pStyle w:val="TableParagraph"/>
              <w:widowControl w:val="false"/>
              <w:spacing w:lineRule="auto" w:line="240" w:before="5" w:after="0"/>
              <w:ind w:left="125" w:right="90" w:firstLine="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en-US" w:bidi="ar-SA"/>
              </w:rPr>
              <w:t>вид деятельности, согласно Федеральному закону от 04.05.2011 г. №99-ФЗ «О лицензировании отдельных видов деятельности)› и Постановления Правительства РФ от 28.07.2020 г. N. 1228 «О лицензировании деятельности по монтажу техническому обслуживанию и ремонту средств обеспечения пожарной безопасности зданий и сооружений› (с действующими изменениями).</w:t>
            </w:r>
          </w:p>
        </w:tc>
        <w:tc>
          <w:tcPr>
            <w:tcW w:w="1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 Подрядчик должен: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 Подрядчик обязан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выполнять и соблюдать все применимые требования законодательства, утвержденные практические руководства и существующие нормы и правила в области ОТ, ППБ и Э. Подрядчик принимает все обоснованные меры предосторожности, направленные на охрану окружающей среды в процессе выполнения Работ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1.5.</w:t>
            </w:r>
          </w:p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10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1.5.1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к системе ОПС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1279" w:leader="none"/>
              </w:tabs>
              <w:spacing w:lineRule="exact" w:line="275" w:before="5" w:after="0"/>
              <w:ind w:left="0" w:right="0" w:hanging="0"/>
              <w:contextualSpacing w:val="false"/>
              <w:jc w:val="left"/>
              <w:rPr>
                <w:rFonts w:ascii="Times New Roman" w:hAnsi="Times New Roman" w:eastAsia="Times New Roman" w:cs="Times New Roman"/>
                <w:color w:val="1C1C1C"/>
                <w:sz w:val="24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1C1C1C"/>
                <w:sz w:val="24"/>
                <w:szCs w:val="28"/>
                <w:lang w:val="ru-RU" w:eastAsia="en-US" w:bidi="ar-SA"/>
              </w:rPr>
              <w:t>Систему выполнить в соответствии с действующими нормативными документами.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304" w:leader="none"/>
              </w:tabs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Times New Roman" w:cs="Times New Roman"/>
                <w:color w:val="1C1C1C"/>
                <w:sz w:val="24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1C1C1C"/>
                <w:sz w:val="24"/>
                <w:szCs w:val="28"/>
                <w:lang w:val="ru-RU" w:eastAsia="en-US" w:bidi="ar-SA"/>
              </w:rPr>
              <w:t>Приемно-контрольные приборы установить в помещениях объектов, вывести сигнал «пожар» в места размещения дежурного персонала, ведущего круглосуточное дежурство.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422" w:leader="none"/>
                <w:tab w:val="left" w:pos="2428" w:leader="none"/>
                <w:tab w:val="left" w:pos="3634" w:leader="none"/>
                <w:tab w:val="left" w:pos="5231" w:leader="none"/>
                <w:tab w:val="left" w:pos="7748" w:leader="none"/>
                <w:tab w:val="left" w:pos="9271" w:leader="none"/>
              </w:tabs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Times New Roman" w:cs="Times New Roman"/>
                <w:color w:val="1C1C1C"/>
                <w:sz w:val="24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1C1C1C"/>
                <w:sz w:val="24"/>
                <w:szCs w:val="28"/>
                <w:lang w:val="ru-RU" w:eastAsia="en-US" w:bidi="ar-SA"/>
              </w:rPr>
              <w:t xml:space="preserve">Система пожарной сигнализации должна обеспечивать возможность ее дальнейшего расширения. 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422" w:leader="none"/>
                <w:tab w:val="left" w:pos="2428" w:leader="none"/>
                <w:tab w:val="left" w:pos="3634" w:leader="none"/>
                <w:tab w:val="left" w:pos="5231" w:leader="none"/>
                <w:tab w:val="left" w:pos="7748" w:leader="none"/>
                <w:tab w:val="left" w:pos="9271" w:leader="none"/>
              </w:tabs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Times New Roman" w:cs="Times New Roman"/>
                <w:color w:val="1C1C1C"/>
                <w:sz w:val="24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1C1C1C"/>
                <w:sz w:val="24"/>
                <w:szCs w:val="28"/>
                <w:lang w:val="ru-RU" w:eastAsia="en-US" w:bidi="ar-SA"/>
              </w:rPr>
              <w:t>На месте, где установлена аппаратура управления, должна быть краткая инструкция для дежурного персонала.</w:t>
            </w:r>
          </w:p>
          <w:p>
            <w:pPr>
              <w:pStyle w:val="BodyText"/>
              <w:widowControl w:val="false"/>
              <w:spacing w:lineRule="exact" w:line="267" w:before="0" w:after="120"/>
              <w:rPr>
                <w:rFonts w:ascii="Times New Roman" w:hAnsi="Times New Roman" w:eastAsia="Times New Roman" w:cs="Times New Roman"/>
                <w:color w:val="1C1C1C"/>
                <w:sz w:val="24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1C1C1C"/>
                <w:sz w:val="24"/>
                <w:szCs w:val="28"/>
                <w:lang w:val="ru-RU" w:eastAsia="en-US" w:bidi="ar-SA"/>
              </w:rPr>
              <w:t>При установке выше указанных систем учесть специфику объектов электроэнергетики.</w:t>
            </w:r>
          </w:p>
        </w:tc>
        <w:tc>
          <w:tcPr>
            <w:tcW w:w="1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1.5.2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используемым МТР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exact" w:line="267" w:before="0" w:after="120"/>
              <w:rPr>
                <w:rFonts w:ascii="Times New Roman" w:hAnsi="Times New Roman" w:eastAsia="Times New Roman" w:cs="Times New Roman"/>
                <w:color w:val="1C1C1C"/>
                <w:sz w:val="24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1C1C1C"/>
                <w:sz w:val="24"/>
                <w:szCs w:val="28"/>
                <w:lang w:val="ru-RU" w:eastAsia="en-US" w:bidi="ar-SA"/>
              </w:rPr>
              <w:t>Все используемые «Подрядчиком» материалы должны быть новыми, иметь соответствующие сертификаты качества,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продукции, которые после окончания работ должны быть переданы Заказчику в составе исполнительной документации. Запрещается применение материалов, не имеющих сертификаты качества или паспорт. При производстве работ необходимо соблюдать все нормы и правила, принятые на территории Российской Федерации.</w:t>
            </w:r>
          </w:p>
        </w:tc>
        <w:tc>
          <w:tcPr>
            <w:tcW w:w="1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результату предпроектного обследования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представителям СПКиОТ ЦЭС выполнить обследование здании.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осмотра составить акт, в котором описать техническое состояние, объем и состав работ обязательных к выполнению в рамках реконструкции.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_RefHeading___Toc15871_2903166146"/>
            <w:bookmarkStart w:id="15" w:name="__RefHeading___Toc15871_2903166146"/>
            <w:bookmarkEnd w:id="15"/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результату инженерных изысканий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объеме проектной документации проработать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размещения оборудования (датчики, приемно-контрольные приборы, оповещатели, извещатели пожарные ручные (ИПР);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Структурная схема системы ОПС;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 подключения оборудования;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Спецификация оборудования и материалов;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Сметная документация (локальные сметы).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Требование к результату согласований проектной документации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и рабочей документации на монтаж системы охранно-пожарной сигнализации (ОПС) с целью обеспечения безопасности объекта, своевременного обнаружения пожара и оповещения людей о необходимости эвакуации.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результату разработки рабочей документации (РД)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Рабочую документацию разработать в объеме, необходимом для выполнения строительно-монтажных работ на проектируемом объекте.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всем разделам выполнить необходимые рабочие чертежи и схемы, полный пакет документов, достаточный для выполнения строительно-монтажных работ, а также для осуществления строительного контроля и технического надзора на объекте.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рабочей документации, передаваемой Заказчику, должны быть включены: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1) Рабочие чертежи, предназначенные для производства строительных и монтажных работ, объединённые в основные комплекты рабочих чертежей по маркам;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Прилагаемые документы, разработанные в дополнение к рабочим чертежам основного комплекта (в том числе, спецификацию оборудования, изделий и материалов, опросные листы и габаритные чертежи;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3) Общие данные по рабочим чертежам, чертежи и схемы, предусмотренные соответствующими стандартами СПДС;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4) Ведомости объёмов работ и применяемых материалов по каждому из разделов рабочей документации. Состав данных ведомостей должен полностью соответствовать позициям работ и материалов, отражённым в сметных расчётах. Для контроля обеспечения исполнения данного требования нумерацию позиций в сметных расчётах и ведомостях объёмов работ и применяемых материалов необходимо принять одинаковой и многоуровневой.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5) Актуализированный на основании рабочей документации сметный расчёт (при изменении объёмов работ в результате уточнения проектных решений).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6) При выборе материалов и оборудования при проектировании, предпочтение отдавать номенклатуре содержащихся в классификаторе строительных ресурсов (КСР) ФСНБ.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составлению сметной документации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Сметную документацию составить в соответствии с требованиями указанными в приложении №1 к настоящим техническим требованиям</w:t>
            </w:r>
          </w:p>
        </w:tc>
        <w:tc>
          <w:tcPr>
            <w:tcW w:w="1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После утверждения проектной или рабочей документации автор проекта формирует и направляет в ЦЭС ПАО «Якутскэнерго» четыре экземпляра документации в бумажном виде и один экземпляр в электронном виде в редактируемых форматах (DOC, DOCX, XLS, XLSX, DWG, DXF, XML, GSFX и других), а также скомплектованные разделы в формате PDF. Текстовые документы, представляемые в формате PDF, должны иметь текстовый слой (т.е. должна быть обеспечена возможность поиска по тексту документов).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Электронная версия документации должна соответствовать ведомости основного комплекта проектной документации и комплектоваться отдельно по каждому тому. Наименования файлов томов, сшивов чертежей должны соответствовать названию документации, представленной на бумажных носителях.</w:t>
            </w:r>
          </w:p>
          <w:p>
            <w:pPr>
              <w:pStyle w:val="TableParagraph"/>
              <w:widowControl w:val="false"/>
              <w:spacing w:before="5" w:after="0"/>
              <w:ind w:left="129" w:right="88" w:hanging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Приемка выполненных </w:t>
            </w:r>
            <w:r>
              <w:rPr>
                <w:color w:val="0E0E0E"/>
                <w:sz w:val="24"/>
              </w:rPr>
              <w:t xml:space="preserve">работ </w:t>
            </w:r>
            <w:r>
              <w:rPr>
                <w:color w:val="0C0C0C"/>
                <w:sz w:val="24"/>
              </w:rPr>
              <w:t xml:space="preserve">производится </w:t>
            </w:r>
            <w:r>
              <w:rPr>
                <w:color w:val="1C1C1C"/>
                <w:sz w:val="24"/>
              </w:rPr>
              <w:t xml:space="preserve">комиссионно </w:t>
            </w:r>
            <w:r>
              <w:rPr>
                <w:color w:val="2A2A2A"/>
                <w:sz w:val="24"/>
              </w:rPr>
              <w:t xml:space="preserve">с </w:t>
            </w:r>
            <w:r>
              <w:rPr>
                <w:sz w:val="24"/>
              </w:rPr>
              <w:t xml:space="preserve">обязательным присутствием </w:t>
            </w:r>
            <w:r>
              <w:rPr>
                <w:color w:val="111111"/>
                <w:sz w:val="24"/>
              </w:rPr>
              <w:t xml:space="preserve">представителя </w:t>
            </w:r>
            <w:r>
              <w:rPr>
                <w:color w:val="1D1D1D"/>
                <w:sz w:val="24"/>
              </w:rPr>
              <w:t xml:space="preserve">подрядной </w:t>
            </w:r>
            <w:r>
              <w:rPr>
                <w:color w:val="0A0A0A"/>
                <w:spacing w:val="-2"/>
                <w:sz w:val="24"/>
              </w:rPr>
              <w:t>организации.</w:t>
            </w:r>
          </w:p>
          <w:p>
            <w:pPr>
              <w:pStyle w:val="TableParagraph"/>
              <w:widowControl w:val="false"/>
              <w:spacing w:lineRule="auto" w:line="240" w:before="7" w:after="0"/>
              <w:ind w:left="127" w:right="101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 </w:t>
            </w:r>
            <w:r>
              <w:rPr>
                <w:color w:val="111111"/>
                <w:sz w:val="24"/>
              </w:rPr>
              <w:t xml:space="preserve">выполненных </w:t>
            </w:r>
            <w:r>
              <w:rPr>
                <w:color w:val="1C1C1C"/>
                <w:sz w:val="24"/>
              </w:rPr>
              <w:t xml:space="preserve">работ </w:t>
            </w:r>
            <w:r>
              <w:rPr>
                <w:color w:val="232323"/>
                <w:sz w:val="24"/>
              </w:rPr>
              <w:t xml:space="preserve">и </w:t>
            </w:r>
            <w:r>
              <w:rPr>
                <w:sz w:val="24"/>
              </w:rPr>
              <w:t xml:space="preserve">приемосдаточные </w:t>
            </w:r>
            <w:r>
              <w:rPr>
                <w:color w:val="161616"/>
                <w:sz w:val="24"/>
              </w:rPr>
              <w:t xml:space="preserve">документы формы </w:t>
            </w:r>
            <w:r>
              <w:rPr>
                <w:color w:val="1F1F1F"/>
                <w:sz w:val="24"/>
              </w:rPr>
              <w:t xml:space="preserve">KC-2, </w:t>
            </w:r>
            <w:r>
              <w:rPr>
                <w:color w:val="131313"/>
                <w:sz w:val="24"/>
              </w:rPr>
              <w:t xml:space="preserve">КС-3, </w:t>
            </w:r>
            <w:r>
              <w:rPr>
                <w:color w:val="161616"/>
                <w:sz w:val="24"/>
              </w:rPr>
              <w:t xml:space="preserve">OC-1 </w:t>
            </w:r>
            <w:r>
              <w:rPr>
                <w:color w:val="0F0F0F"/>
                <w:sz w:val="24"/>
              </w:rPr>
              <w:t>(ОС-3).</w:t>
            </w:r>
          </w:p>
          <w:p>
            <w:pPr>
              <w:pStyle w:val="TableParagraph"/>
              <w:widowControl w:val="false"/>
              <w:spacing w:lineRule="auto" w:line="240"/>
              <w:ind w:left="129" w:right="96" w:firstLine="3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Исполнительная</w:t>
            </w:r>
            <w:r>
              <w:rPr>
                <w:color w:val="0C0C0C"/>
                <w:spacing w:val="-8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 xml:space="preserve">документация </w:t>
            </w:r>
            <w:r>
              <w:rPr>
                <w:sz w:val="24"/>
              </w:rPr>
              <w:t xml:space="preserve">(комплект </w:t>
            </w:r>
            <w:r>
              <w:rPr>
                <w:color w:val="1C1C1C"/>
                <w:sz w:val="24"/>
              </w:rPr>
              <w:t xml:space="preserve">рабочих </w:t>
            </w:r>
            <w:r>
              <w:rPr>
                <w:color w:val="161616"/>
                <w:sz w:val="24"/>
              </w:rPr>
              <w:t xml:space="preserve">чертежей </w:t>
            </w:r>
            <w:r>
              <w:rPr>
                <w:color w:val="212121"/>
                <w:sz w:val="24"/>
              </w:rPr>
              <w:t xml:space="preserve">с </w:t>
            </w:r>
            <w:r>
              <w:rPr>
                <w:sz w:val="24"/>
              </w:rPr>
              <w:t xml:space="preserve">внесенными </w:t>
            </w:r>
            <w:r>
              <w:rPr>
                <w:color w:val="161616"/>
                <w:sz w:val="24"/>
              </w:rPr>
              <w:t xml:space="preserve">в </w:t>
            </w:r>
            <w:r>
              <w:rPr>
                <w:color w:val="131313"/>
                <w:sz w:val="24"/>
              </w:rPr>
              <w:t xml:space="preserve">них </w:t>
            </w:r>
            <w:r>
              <w:rPr>
                <w:sz w:val="24"/>
              </w:rPr>
              <w:t xml:space="preserve">изменениями </w:t>
            </w:r>
            <w:r>
              <w:rPr>
                <w:color w:val="111111"/>
                <w:sz w:val="24"/>
              </w:rPr>
              <w:t xml:space="preserve">или </w:t>
            </w:r>
            <w:r>
              <w:rPr>
                <w:color w:val="151515"/>
                <w:sz w:val="24"/>
              </w:rPr>
              <w:t xml:space="preserve">акт </w:t>
            </w:r>
            <w:r>
              <w:rPr>
                <w:color w:val="131313"/>
                <w:sz w:val="24"/>
              </w:rPr>
              <w:t>обследования).</w:t>
            </w:r>
          </w:p>
          <w:p>
            <w:pPr>
              <w:pStyle w:val="TableParagraph"/>
              <w:widowControl w:val="false"/>
              <w:spacing w:lineRule="auto" w:line="235"/>
              <w:ind w:left="129" w:right="80" w:firstLine="4"/>
              <w:jc w:val="both"/>
              <w:rPr>
                <w:sz w:val="24"/>
              </w:rPr>
            </w:pPr>
            <w:r>
              <w:rPr>
                <w:color w:val="0F0F0F"/>
                <w:sz w:val="24"/>
              </w:rPr>
              <w:t xml:space="preserve">Перечень установленного </w:t>
            </w:r>
            <w:r>
              <w:rPr>
                <w:color w:val="1A1A1A"/>
                <w:sz w:val="24"/>
              </w:rPr>
              <w:t xml:space="preserve">пожарного </w:t>
            </w:r>
            <w:r>
              <w:rPr>
                <w:color w:val="0F0F0F"/>
                <w:sz w:val="24"/>
              </w:rPr>
              <w:t xml:space="preserve">оборудования </w:t>
            </w:r>
            <w:r>
              <w:rPr>
                <w:color w:val="262626"/>
                <w:sz w:val="24"/>
              </w:rPr>
              <w:t xml:space="preserve">с </w:t>
            </w:r>
            <w:r>
              <w:rPr>
                <w:color w:val="1C1C1C"/>
                <w:sz w:val="24"/>
              </w:rPr>
              <w:t xml:space="preserve">указанием </w:t>
            </w:r>
            <w:r>
              <w:rPr>
                <w:color w:val="2D2D2D"/>
                <w:sz w:val="24"/>
              </w:rPr>
              <w:t xml:space="preserve">его </w:t>
            </w:r>
            <w:r>
              <w:rPr>
                <w:color w:val="1A1A1A"/>
                <w:sz w:val="24"/>
              </w:rPr>
              <w:t xml:space="preserve">наименований </w:t>
            </w:r>
            <w:r>
              <w:rPr>
                <w:color w:val="232323"/>
                <w:sz w:val="24"/>
              </w:rPr>
              <w:t xml:space="preserve">и </w:t>
            </w:r>
            <w:r>
              <w:rPr>
                <w:color w:val="181818"/>
                <w:sz w:val="24"/>
              </w:rPr>
              <w:t>количества.</w:t>
            </w:r>
          </w:p>
          <w:p>
            <w:pPr>
              <w:pStyle w:val="TableParagraph"/>
              <w:widowControl w:val="false"/>
              <w:spacing w:before="5" w:after="0"/>
              <w:ind w:left="129" w:right="83" w:firstLine="7"/>
              <w:jc w:val="both"/>
              <w:rPr>
                <w:sz w:val="24"/>
              </w:rPr>
            </w:pPr>
            <w:r>
              <w:rPr>
                <w:iCs/>
                <w:color w:val="1C1C1C"/>
                <w:sz w:val="24"/>
                <w:szCs w:val="24"/>
              </w:rPr>
              <w:t xml:space="preserve">Сертификаты, </w:t>
            </w:r>
            <w:r>
              <w:rPr>
                <w:iCs/>
                <w:color w:val="161616"/>
                <w:sz w:val="24"/>
                <w:szCs w:val="24"/>
              </w:rPr>
              <w:t xml:space="preserve">технические </w:t>
            </w:r>
            <w:r>
              <w:rPr>
                <w:iCs/>
                <w:color w:val="0F0F0F"/>
                <w:sz w:val="24"/>
                <w:szCs w:val="24"/>
              </w:rPr>
              <w:t xml:space="preserve">паспорта </w:t>
            </w:r>
            <w:r>
              <w:rPr>
                <w:iCs/>
                <w:color w:val="1C1C1C"/>
                <w:sz w:val="24"/>
                <w:szCs w:val="24"/>
              </w:rPr>
              <w:t xml:space="preserve">или </w:t>
            </w:r>
            <w:r>
              <w:rPr>
                <w:iCs/>
                <w:color w:val="1F1F1F"/>
                <w:sz w:val="24"/>
                <w:szCs w:val="24"/>
              </w:rPr>
              <w:t xml:space="preserve">другие </w:t>
            </w:r>
            <w:r>
              <w:rPr>
                <w:iCs/>
                <w:color w:val="161616"/>
                <w:sz w:val="24"/>
                <w:szCs w:val="24"/>
              </w:rPr>
              <w:t xml:space="preserve">документы, </w:t>
            </w:r>
            <w:r>
              <w:rPr>
                <w:iCs/>
                <w:color w:val="131313"/>
                <w:sz w:val="24"/>
                <w:szCs w:val="24"/>
              </w:rPr>
              <w:t xml:space="preserve">удостоверяющие </w:t>
            </w:r>
            <w:r>
              <w:rPr>
                <w:iCs/>
                <w:color w:val="181818"/>
                <w:sz w:val="24"/>
                <w:szCs w:val="24"/>
              </w:rPr>
              <w:t xml:space="preserve">качество </w:t>
            </w:r>
            <w:r>
              <w:rPr>
                <w:iCs/>
                <w:color w:val="1A1A1A"/>
                <w:sz w:val="24"/>
                <w:szCs w:val="24"/>
              </w:rPr>
              <w:t xml:space="preserve">материалов, </w:t>
            </w:r>
            <w:r>
              <w:rPr>
                <w:iCs/>
                <w:color w:val="131313"/>
                <w:sz w:val="24"/>
                <w:szCs w:val="24"/>
              </w:rPr>
              <w:t xml:space="preserve">изделий </w:t>
            </w:r>
            <w:r>
              <w:rPr>
                <w:iCs/>
                <w:sz w:val="24"/>
                <w:szCs w:val="24"/>
              </w:rPr>
              <w:t xml:space="preserve">и </w:t>
            </w:r>
            <w:r>
              <w:rPr>
                <w:iCs/>
                <w:color w:val="131313"/>
                <w:sz w:val="24"/>
                <w:szCs w:val="24"/>
              </w:rPr>
              <w:t>оборудования,</w:t>
            </w:r>
            <w:r>
              <w:rPr>
                <w:iCs/>
                <w:color w:val="131313"/>
                <w:spacing w:val="40"/>
                <w:sz w:val="24"/>
                <w:szCs w:val="24"/>
              </w:rPr>
              <w:t xml:space="preserve"> </w:t>
            </w:r>
            <w:r>
              <w:rPr>
                <w:iCs/>
                <w:color w:val="111111"/>
                <w:sz w:val="24"/>
                <w:szCs w:val="24"/>
              </w:rPr>
              <w:t>применяемых</w:t>
            </w:r>
            <w:r>
              <w:rPr>
                <w:iCs/>
                <w:color w:val="111111"/>
                <w:spacing w:val="40"/>
                <w:sz w:val="24"/>
                <w:szCs w:val="24"/>
              </w:rPr>
              <w:t xml:space="preserve"> </w:t>
            </w:r>
            <w:r>
              <w:rPr>
                <w:iCs/>
                <w:color w:val="1F1F1F"/>
                <w:sz w:val="24"/>
                <w:szCs w:val="24"/>
              </w:rPr>
              <w:t>при</w:t>
            </w:r>
            <w:r>
              <w:rPr>
                <w:iCs/>
                <w:color w:val="1F1F1F"/>
                <w:spacing w:val="40"/>
                <w:sz w:val="24"/>
                <w:szCs w:val="24"/>
              </w:rPr>
              <w:t xml:space="preserve"> </w:t>
            </w:r>
            <w:r>
              <w:rPr>
                <w:iCs/>
                <w:color w:val="131313"/>
                <w:sz w:val="24"/>
                <w:szCs w:val="24"/>
              </w:rPr>
              <w:t>производстве</w:t>
            </w:r>
            <w:r>
              <w:rPr>
                <w:iCs/>
                <w:color w:val="131313"/>
                <w:spacing w:val="40"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монтажных </w:t>
            </w:r>
            <w:r>
              <w:rPr>
                <w:iCs/>
                <w:color w:val="212121"/>
                <w:spacing w:val="-2"/>
                <w:sz w:val="24"/>
                <w:szCs w:val="24"/>
              </w:rPr>
              <w:t>работ.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_RefHeading___Toc15873_2903166146"/>
            <w:bookmarkStart w:id="17" w:name="__RefHeading___Toc15873_2903166146"/>
            <w:bookmarkEnd w:id="17"/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10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</w:tabs>
              <w:ind w:left="-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_RefHeading___Toc15879_2903166146"/>
            <w:bookmarkStart w:id="19" w:name="__RefHeading___Toc15879_2903166146"/>
            <w:bookmarkEnd w:id="19"/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10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>
              <w:rPr>
                <w:rStyle w:val="Style8"/>
                <w:rFonts w:eastAsia="Times New Roman" w:cs="Times New Roman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sz w:val="24"/>
                <w:szCs w:val="24"/>
                <w:lang w:eastAsia="x-none"/>
              </w:rPr>
              <w:t>4.1.</w:t>
            </w:r>
            <w:r>
              <w:rPr>
                <w:b w:val="false"/>
                <w:bCs w:val="false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гарантийным обязательствам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все используемые материалы и оборудование гарантийный срок должен составлять не менее срока, установленного заводом изготовителем. Гарантия наступает с момента подписания актов приемки законченного объекта (форма КС-11) по настоящему договору в полном объеме, при условии соблюдения Заказчиком правил эксплуатации сданного в эксплуатацию объекта.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10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sz w:val="24"/>
                <w:szCs w:val="24"/>
                <w:lang w:eastAsia="x-none"/>
              </w:rPr>
              <w:t>5.1.</w:t>
            </w:r>
            <w:r>
              <w:rPr>
                <w:b w:val="false"/>
                <w:bCs w:val="false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Подрядчик обязан в момент сдачи – приемки выполненных работ, совместно с актами по формам КС, подготовить и представить в адрес Заказчика следующую исполнительную документацию: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Ведомость технической документации, предъявляемой при сдаче-приемке электромонтажных работ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Общий журнал работ (по форме КС-6)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Акт технической готовности системы ОПС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Ведомость смонтированного электрооборудования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Акты освидетельствования скрытых работ 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Паспорт сборки и монтажа систем ОПС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Исполнительная схема опор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Акт об оприходовании материальных ценностей по форме М-35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1247" w:right="283" w:hanging="119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6.</w:t>
            </w:r>
          </w:p>
        </w:tc>
        <w:tc>
          <w:tcPr>
            <w:tcW w:w="10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sz w:val="24"/>
                <w:szCs w:val="24"/>
                <w:lang w:eastAsia="x-none"/>
              </w:rPr>
              <w:t>6.1.</w:t>
            </w:r>
            <w:r>
              <w:rPr>
                <w:b w:val="false"/>
                <w:bCs w:val="false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подрядчика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Гарантийный период на СМР составляет 36 (тридцать шесть) месяцев. Гарантийные обязательства Подрядчика наступают с даты подписания Акта приемки законченного строительством объекта (форма КС-11) либо даты прекращения (расторжения) Договора, поскольку прекращение (расторжение) Договора не является основанием для прекращения гарантийных обязательств по выполненным Подрядчиком Работам.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Подрядчик гарантирует возможность эксплуатации Результата Работ в соответствии с его целевым назначением, а также несет безусловную ответственность за обнаруженные Заказчиком недостатки, несоответствия и / или дефекты Результата Работ, если не докажет, что они явились следствием несоблюдения Заказчиком требований по эксплуатации Результата Работ, прямо предусмотренных в инструкциях и иных документах, переданных Заказчику.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случае обнаружения в период Гарантийного срока недостатков, несоответствий и / или дефектов Результата Работ, Заказчик направляет Подрядчику письменное уведомление с указанием выявленных недостатков. Подрядчик обязан незамедлительно обеспечить прибытие своего представителя, уполномоченного надлежащим образом оформленной доверенностью, для составления Акта о недостатках и согласования порядка и сроков их устранения.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и полный перечень недостатков, несоответствий и / или дефектов Результата Работ, а также разумные сроки их устранения, оформляются Актом о недостатках, составляемым Сторонами, а при отказе или уклонении Подрядчика от составления данного акта – Заказчиком в одностороннем порядке. Подрядчик признается уклонившимся от составления Акта о недостатках в случае не подписания Подрядчиком данного акта в течение 5 (пяти)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Подрядчика.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размерах, установленных Договором.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Подрядчик обязан своими силами и за свой счет устранить недостатки, несоответствия и дефекты, обнаруженные Заказчиком в течение Гарантийного срока, в срок, указанный в Акте о недостатках, составленном в порядке.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подрядчика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За неисполнение или ненадлежащее исполнение принятых обязательств подрядчик несут ответственность в соответствии с законодательством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В случае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нарушения Подрядчиком обязательств, Заказчик вправе требовать уплаты Подрядчиком ш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трафной неустойки, возмещения убытков.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случае нарушения Подрядчиком требований пропускного и внутриобъектового режима, требований охраны труда, пожарной и промышленной безопасности, Заказчик, помимо возмещения убытков, вправе требовать уплаты Подрядчиком штрафа.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Подрядчик несет ответственность перед Заказчиком за причиненный ущерб в размере фактически понесенных и документально подтвержденных расходов, возникших в связи с неисполнением Подрядчиком своих обязательств, произведенных для восстановления нарушенного права, а также упущенной выгоды.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10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sz w:val="24"/>
                <w:szCs w:val="24"/>
                <w:lang w:eastAsia="x-none"/>
              </w:rPr>
              <w:t>7.1.1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lineRule="auto" w:line="235" w:before="130" w:after="0"/>
              <w:ind w:left="170" w:right="283" w:hanging="0"/>
              <w:jc w:val="both"/>
              <w:rPr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Работы </w:t>
            </w:r>
            <w:r>
              <w:rPr>
                <w:color w:val="0F0F0F"/>
                <w:sz w:val="24"/>
                <w:szCs w:val="24"/>
              </w:rPr>
              <w:t xml:space="preserve">производится </w:t>
            </w:r>
            <w:r>
              <w:rPr>
                <w:color w:val="181818"/>
                <w:sz w:val="24"/>
                <w:szCs w:val="24"/>
              </w:rPr>
              <w:t xml:space="preserve">под </w:t>
            </w:r>
            <w:r>
              <w:rPr>
                <w:sz w:val="24"/>
                <w:szCs w:val="24"/>
              </w:rPr>
              <w:t xml:space="preserve">ключ </w:t>
            </w:r>
            <w:r>
              <w:rPr>
                <w:color w:val="1C1C1C"/>
                <w:w w:val="90"/>
                <w:sz w:val="24"/>
                <w:szCs w:val="24"/>
              </w:rPr>
              <w:t xml:space="preserve">— </w:t>
            </w:r>
            <w:r>
              <w:rPr>
                <w:color w:val="161616"/>
                <w:sz w:val="24"/>
                <w:szCs w:val="24"/>
              </w:rPr>
              <w:t xml:space="preserve">т.е. </w:t>
            </w:r>
            <w:r>
              <w:rPr>
                <w:color w:val="313131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таком </w:t>
            </w:r>
            <w:r>
              <w:rPr>
                <w:color w:val="131313"/>
                <w:sz w:val="24"/>
                <w:szCs w:val="24"/>
              </w:rPr>
              <w:t xml:space="preserve">объеме, </w:t>
            </w:r>
            <w:r>
              <w:rPr>
                <w:color w:val="262626"/>
                <w:sz w:val="24"/>
                <w:szCs w:val="24"/>
              </w:rPr>
              <w:t xml:space="preserve">который </w:t>
            </w:r>
            <w:r>
              <w:rPr>
                <w:color w:val="1A1A1A"/>
                <w:sz w:val="24"/>
                <w:szCs w:val="24"/>
              </w:rPr>
              <w:t xml:space="preserve">позволяет </w:t>
            </w:r>
            <w:r>
              <w:rPr>
                <w:color w:val="1D1D1D"/>
                <w:sz w:val="24"/>
                <w:szCs w:val="24"/>
              </w:rPr>
              <w:t xml:space="preserve">начать </w:t>
            </w:r>
            <w:r>
              <w:rPr>
                <w:sz w:val="24"/>
                <w:szCs w:val="24"/>
              </w:rPr>
              <w:t xml:space="preserve">эксплуатацию </w:t>
            </w:r>
            <w:r>
              <w:rPr>
                <w:color w:val="151515"/>
                <w:sz w:val="24"/>
                <w:szCs w:val="24"/>
              </w:rPr>
              <w:t xml:space="preserve">оборудования </w:t>
            </w:r>
            <w:r>
              <w:rPr>
                <w:color w:val="1D1D1D"/>
                <w:sz w:val="24"/>
                <w:szCs w:val="24"/>
              </w:rPr>
              <w:t>без выполнения</w:t>
            </w:r>
            <w:r>
              <w:rPr>
                <w:color w:val="1F1F1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дополнительных </w:t>
            </w:r>
            <w:r>
              <w:rPr>
                <w:color w:val="131313"/>
                <w:sz w:val="24"/>
                <w:szCs w:val="24"/>
              </w:rPr>
              <w:t xml:space="preserve">работ. </w:t>
            </w:r>
            <w:r>
              <w:rPr>
                <w:color w:val="1C1C1C"/>
                <w:sz w:val="24"/>
                <w:szCs w:val="24"/>
              </w:rPr>
              <w:t xml:space="preserve">Заказчик </w:t>
            </w:r>
            <w:r>
              <w:rPr>
                <w:color w:val="151515"/>
                <w:sz w:val="24"/>
                <w:szCs w:val="24"/>
              </w:rPr>
              <w:t xml:space="preserve">исключает </w:t>
            </w:r>
            <w:r>
              <w:rPr>
                <w:color w:val="212121"/>
                <w:sz w:val="24"/>
                <w:szCs w:val="24"/>
              </w:rPr>
              <w:t xml:space="preserve">при исполнении </w:t>
            </w:r>
            <w:r>
              <w:rPr>
                <w:color w:val="1D1D1D"/>
                <w:sz w:val="24"/>
                <w:szCs w:val="24"/>
              </w:rPr>
              <w:t xml:space="preserve">договора </w:t>
            </w:r>
            <w:r>
              <w:rPr>
                <w:color w:val="111111"/>
                <w:sz w:val="24"/>
                <w:szCs w:val="24"/>
              </w:rPr>
              <w:t xml:space="preserve">заключение </w:t>
            </w:r>
            <w:r>
              <w:rPr>
                <w:color w:val="131313"/>
                <w:sz w:val="24"/>
                <w:szCs w:val="24"/>
              </w:rPr>
              <w:t>дополнительных</w:t>
            </w:r>
            <w:r>
              <w:rPr>
                <w:color w:val="131313"/>
                <w:spacing w:val="-6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 xml:space="preserve">соглашений </w:t>
            </w:r>
            <w:r>
              <w:rPr>
                <w:color w:val="1C1C1C"/>
                <w:sz w:val="24"/>
                <w:szCs w:val="24"/>
              </w:rPr>
              <w:t>на</w:t>
            </w:r>
            <w:r>
              <w:rPr>
                <w:color w:val="1C1C1C"/>
                <w:spacing w:val="-12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 xml:space="preserve">увеличение </w:t>
            </w:r>
            <w:r>
              <w:rPr>
                <w:color w:val="161616"/>
                <w:sz w:val="24"/>
                <w:szCs w:val="24"/>
              </w:rPr>
              <w:t xml:space="preserve">объёмов </w:t>
            </w:r>
            <w:r>
              <w:rPr>
                <w:color w:val="111111"/>
                <w:sz w:val="24"/>
                <w:szCs w:val="24"/>
              </w:rPr>
              <w:t>работ.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431" w:right="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bookmarkStart w:id="20" w:name="_Toc171519424"/>
      <w:bookmarkStart w:id="21" w:name="_Toc162430344"/>
      <w:bookmarkStart w:id="22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2"/>
      <w:r>
        <w:rPr>
          <w:sz w:val="24"/>
          <w:szCs w:val="24"/>
          <w:lang w:val="ru-RU"/>
        </w:rPr>
        <w:t xml:space="preserve"> на этапе закупки</w:t>
      </w:r>
      <w:bookmarkEnd w:id="20"/>
      <w:bookmarkEnd w:id="21"/>
    </w:p>
    <w:p>
      <w:pPr>
        <w:pStyle w:val="Heading1"/>
        <w:numPr>
          <w:ilvl w:val="0"/>
          <w:numId w:val="0"/>
        </w:numPr>
        <w:ind w:left="431" w:right="0" w:hanging="0"/>
        <w:jc w:val="both"/>
        <w:rPr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3.1.</w:t>
      </w:r>
      <w:r>
        <w:rPr>
          <w:sz w:val="24"/>
          <w:szCs w:val="24"/>
          <w:lang w:val="ru-RU"/>
        </w:rPr>
        <w:t xml:space="preserve"> </w:t>
      </w:r>
      <w:r>
        <w:rPr>
          <w:rStyle w:val="Style8"/>
          <w:b w:val="false"/>
          <w:i w:val="false"/>
          <w:sz w:val="24"/>
          <w:szCs w:val="24"/>
          <w:shd w:fill="auto" w:val="clear"/>
          <w:lang w:val="ru-RU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>
      <w:pPr>
        <w:pStyle w:val="Heading4"/>
        <w:numPr>
          <w:ilvl w:val="0"/>
          <w:numId w:val="0"/>
        </w:numPr>
        <w:ind w:left="431" w:right="0" w:hanging="0"/>
        <w:jc w:val="both"/>
        <w:rPr>
          <w:b w:val="false"/>
        </w:rPr>
      </w:pPr>
      <w:r>
        <w:rPr>
          <w:b w:val="false"/>
        </w:rPr>
        <w:t xml:space="preserve">3.2. </w:t>
      </w:r>
      <w:bookmarkStart w:id="23" w:name="_Toc162430350"/>
      <w:r>
        <w:rPr>
          <w:b w:val="false"/>
        </w:rPr>
        <w:t>Дополнительные документы по ценообразованию (сметная</w:t>
      </w:r>
      <w:r>
        <w:rPr>
          <w:b w:val="false"/>
          <w:lang w:val="ru-RU"/>
        </w:rPr>
        <w:t xml:space="preserve"> </w:t>
      </w:r>
      <w:r>
        <w:rPr>
          <w:b w:val="false"/>
        </w:rPr>
        <w:t>документация</w:t>
      </w:r>
      <w:r>
        <w:rPr>
          <w:b w:val="false"/>
          <w:lang w:val="ru-RU"/>
        </w:rPr>
        <w:t>) в состав заявки Участника не включаются.</w:t>
      </w:r>
      <w:bookmarkEnd w:id="23"/>
    </w:p>
    <w:p>
      <w:pPr>
        <w:pStyle w:val="Heading1"/>
        <w:keepLines/>
        <w:numPr>
          <w:ilvl w:val="0"/>
          <w:numId w:val="0"/>
        </w:numPr>
        <w:ind w:left="431" w:right="0" w:hanging="0"/>
        <w:jc w:val="both"/>
        <w:rPr/>
      </w:pPr>
      <w:r>
        <w:rPr>
          <w:sz w:val="24"/>
          <w:szCs w:val="24"/>
          <w:lang w:val="ru-RU"/>
        </w:rPr>
        <w:t xml:space="preserve">4. </w:t>
      </w:r>
      <w:bookmarkStart w:id="24" w:name="_Toc171519425"/>
      <w:bookmarkStart w:id="25" w:name="_Toc162430351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24"/>
      <w:bookmarkEnd w:id="25"/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120" w:after="60"/>
        <w:ind w:left="0" w:right="0" w:hanging="0"/>
        <w:contextualSpacing/>
        <w:jc w:val="both"/>
        <w:rPr/>
      </w:pPr>
      <w:r>
        <w:rPr>
          <w:b w:val="false"/>
        </w:rPr>
        <w:t xml:space="preserve">4.1 </w:t>
      </w:r>
      <w:bookmarkStart w:id="26" w:name="_Toc162430352"/>
      <w:r>
        <w:rPr>
          <w:b w:val="false"/>
        </w:rPr>
        <w:t>Сметная документация составлена Заказчиком в рамках определения начальной (максимальной) цены договора в соответствии с требованиями, указанными в приложении № </w:t>
      </w:r>
      <w:r>
        <w:rPr>
          <w:b w:val="false"/>
          <w:lang w:val="ru-RU"/>
        </w:rPr>
        <w:t>1</w:t>
      </w:r>
      <w:r>
        <w:rPr>
          <w:b w:val="false"/>
        </w:rPr>
        <w:t xml:space="preserve"> к Техническим требованиям и включается в состав договора с применением понижающего коэффициента, предложенного победителем закупочной процедуры.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  <w:bookmarkEnd w:id="26"/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120" w:after="60"/>
        <w:ind w:left="0" w:right="0" w:hanging="0"/>
        <w:contextualSpacing/>
        <w:jc w:val="both"/>
        <w:rPr/>
      </w:pPr>
      <w:r>
        <w:rPr>
          <w:b w:val="false"/>
        </w:rPr>
        <w:t xml:space="preserve">4.2. </w:t>
      </w:r>
      <w:bookmarkStart w:id="27" w:name="_Toc162430353"/>
      <w:r>
        <w:rPr>
          <w:b w:val="false"/>
        </w:rPr>
        <w:t>Внесение изменений в сметную документацию Заказчика</w:t>
      </w:r>
      <w:r>
        <w:rPr>
          <w:b w:val="false"/>
          <w:lang w:val="ru-RU"/>
        </w:rPr>
        <w:t>,</w:t>
      </w:r>
      <w:r>
        <w:rPr>
          <w:b w:val="false"/>
        </w:rPr>
        <w:t xml:space="preserve"> кроме применения понижающего коэффициента не допускается.</w:t>
      </w:r>
      <w:bookmarkEnd w:id="27"/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120" w:after="60"/>
        <w:ind w:left="0" w:right="0" w:hanging="0"/>
        <w:contextualSpacing/>
        <w:jc w:val="both"/>
        <w:rPr/>
      </w:pPr>
      <w:r>
        <w:rPr>
          <w:b w:val="false"/>
        </w:rPr>
        <w:t xml:space="preserve">4.3. </w:t>
      </w:r>
      <w:bookmarkStart w:id="28" w:name="_Toc162430354"/>
      <w:r>
        <w:rPr>
          <w:b w:val="false"/>
        </w:rPr>
        <w:t xml:space="preserve">В сметной документации предусмотрен резерв средств на непредвиденные работы и затраты в размере </w:t>
      </w:r>
      <w:r>
        <w:rPr>
          <w:b w:val="false"/>
          <w:lang w:val="ru-RU"/>
        </w:rPr>
        <w:t>2</w:t>
      </w:r>
      <w:r>
        <w:rPr>
          <w:b w:val="false"/>
        </w:rPr>
        <w:t>%.</w:t>
      </w:r>
      <w:bookmarkEnd w:id="28"/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120" w:after="60"/>
        <w:ind w:left="0" w:right="0" w:hanging="0"/>
        <w:contextualSpacing/>
        <w:jc w:val="both"/>
        <w:rPr/>
      </w:pPr>
      <w:r>
        <w:rPr>
          <w:b w:val="false"/>
        </w:rPr>
        <w:t xml:space="preserve">4.4. </w:t>
      </w:r>
      <w:bookmarkStart w:id="29" w:name="_Toc162430357"/>
      <w:r>
        <w:rPr>
          <w:b w:val="false"/>
        </w:rPr>
        <w:t>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 в приложении №</w:t>
      </w:r>
      <w:r>
        <w:rPr>
          <w:b w:val="false"/>
          <w:lang w:val="ru-RU"/>
        </w:rPr>
        <w:t>1</w:t>
      </w:r>
      <w:r>
        <w:rPr>
          <w:b w:val="false"/>
        </w:rPr>
        <w:t xml:space="preserve"> с применением понижающего коэффициента, определенного по результатам конкурентной процедуры.</w:t>
      </w:r>
      <w:bookmarkEnd w:id="29"/>
    </w:p>
    <w:p>
      <w:pPr>
        <w:pStyle w:val="Heading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120" w:after="60"/>
        <w:ind w:left="397" w:right="0" w:hanging="0"/>
        <w:contextualSpacing/>
        <w:jc w:val="both"/>
        <w:rPr>
          <w:iCs/>
          <w:caps/>
          <w:sz w:val="24"/>
          <w:szCs w:val="24"/>
        </w:rPr>
      </w:pPr>
      <w:r>
        <w:rPr>
          <w:iCs/>
          <w:sz w:val="24"/>
          <w:szCs w:val="24"/>
        </w:rPr>
        <w:t xml:space="preserve">5. </w:t>
      </w:r>
      <w:bookmarkStart w:id="30" w:name="_Toc51339699"/>
      <w:bookmarkStart w:id="31" w:name="_Toc162430358"/>
      <w:bookmarkStart w:id="32" w:name="_Toc171519426"/>
      <w:bookmarkStart w:id="33" w:name="_Toc46743519"/>
      <w:r>
        <w:rPr>
          <w:iCs/>
          <w:sz w:val="24"/>
          <w:szCs w:val="24"/>
        </w:rPr>
        <w:t>Приложения</w:t>
      </w:r>
      <w:bookmarkEnd w:id="30"/>
      <w:bookmarkEnd w:id="31"/>
      <w:bookmarkEnd w:id="32"/>
      <w:bookmarkEnd w:id="33"/>
    </w:p>
    <w:p>
      <w:pPr>
        <w:pStyle w:val="Normal"/>
        <w:numPr>
          <w:ilvl w:val="0"/>
          <w:numId w:val="9"/>
        </w:numPr>
        <w:ind w:left="426" w:right="0" w:hanging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Приложение № 1: Требования к оформлению и составлению сметной документации;</w:t>
      </w:r>
    </w:p>
    <w:p>
      <w:pPr>
        <w:pStyle w:val="Normal"/>
        <w:numPr>
          <w:ilvl w:val="0"/>
          <w:numId w:val="9"/>
        </w:numPr>
        <w:ind w:left="426" w:right="0" w:hanging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Приложение № 2.1: Планы зданий ЦЭС; </w:t>
      </w:r>
    </w:p>
    <w:p>
      <w:pPr>
        <w:pStyle w:val="Normal"/>
        <w:numPr>
          <w:ilvl w:val="0"/>
          <w:numId w:val="9"/>
        </w:numPr>
        <w:ind w:left="426" w:right="0" w:hanging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Приложение № 3: Квалификационные требования к работникам организаций, привлекаемых к строительным, монтажным, ремонтным, пуско-наладочным работам, расширению, реконструкции, техническому перевооружению и оказание услуг на объектах ПАО «Якутскэнерго»;</w:t>
      </w:r>
    </w:p>
    <w:p>
      <w:pPr>
        <w:pStyle w:val="Normal"/>
        <w:numPr>
          <w:ilvl w:val="0"/>
          <w:numId w:val="0"/>
        </w:numPr>
        <w:ind w:left="426" w:right="0" w:hanging="0"/>
        <w:rPr>
          <w:rStyle w:val="Strong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h-CN" w:bidi="ar-SA"/>
        </w:rPr>
      </w:pPr>
      <w:r>
        <w:rPr/>
      </w:r>
      <w:bookmarkStart w:id="34" w:name="__RefHeading___Toc75446580"/>
      <w:bookmarkStart w:id="35" w:name="__RefHeading___Toc75446580"/>
      <w:bookmarkEnd w:id="35"/>
    </w:p>
    <w:sectPr>
      <w:headerReference w:type="default" r:id="rId6"/>
      <w:headerReference w:type="first" r:id="rId7"/>
      <w:type w:val="nextPage"/>
      <w:pgSz w:w="11906" w:h="16838"/>
      <w:pgMar w:left="851" w:right="851" w:gutter="0" w:header="680" w:top="737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swiss"/>
    <w:pitch w:val="variable"/>
  </w:font>
  <w:font w:name="Arial Unicode MS">
    <w:charset w:val="01"/>
    <w:family w:val="swiss"/>
    <w:pitch w:val="variable"/>
  </w:font>
  <w:font w:name="Verdana">
    <w:charset w:val="01"/>
    <w:family w:val="swiss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398"/>
        </w:tabs>
        <w:ind w:left="539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758"/>
        </w:tabs>
        <w:ind w:left="575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6478"/>
        </w:tabs>
        <w:ind w:left="647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6838"/>
        </w:tabs>
        <w:ind w:left="683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7198"/>
        </w:tabs>
        <w:ind w:left="719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7558"/>
        </w:tabs>
        <w:ind w:left="755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7918"/>
        </w:tabs>
        <w:ind w:left="7918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1"/>
      </w:numPr>
      <w:ind w:left="1224" w:right="0" w:hanging="504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before="120" w:after="60"/>
      <w:ind w:left="1224" w:right="0" w:hanging="504"/>
      <w:outlineLvl w:val="2"/>
    </w:pPr>
    <w:rPr>
      <w:rFonts w:eastAsia="Calibri"/>
      <w:b/>
      <w:sz w:val="24"/>
      <w:szCs w:val="24"/>
      <w:lang w:val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ind w:left="0" w:right="0" w:hanging="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left="0" w:right="0" w:hanging="0"/>
      <w:outlineLvl w:val="5"/>
    </w:pPr>
    <w:rPr>
      <w:rFonts w:ascii="Cambria" w:hAnsi="Cambria" w:cs="Cambria"/>
      <w:i/>
      <w:iCs/>
      <w:color w:val="243F60"/>
      <w:sz w:val="20"/>
      <w:szCs w:val="20"/>
      <w:lang w:val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left="0" w:right="0" w:hanging="0"/>
      <w:outlineLvl w:val="6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left="0" w:right="0" w:hanging="0"/>
      <w:outlineLvl w:val="7"/>
    </w:pPr>
    <w:rPr>
      <w:rFonts w:ascii="Cambria" w:hAnsi="Cambria" w:cs="Cambria"/>
      <w:color w:val="4F81BD"/>
      <w:sz w:val="20"/>
      <w:szCs w:val="20"/>
      <w:lang w:val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ind w:left="0" w:right="0" w:hanging="0"/>
      <w:outlineLvl w:val="8"/>
    </w:pPr>
    <w:rPr>
      <w:rFonts w:ascii="Arial" w:hAnsi="Arial" w:cs="Arial"/>
      <w:sz w:val="22"/>
      <w:szCs w:val="22"/>
      <w:lang w:val="x-none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>
    <w:name w:val="WW8Num4z1"/>
    <w:qFormat/>
    <w:rPr>
      <w:b w:val="false"/>
      <w:bCs/>
      <w:i w:val="false"/>
      <w:iCs/>
      <w:sz w:val="24"/>
      <w:szCs w:val="24"/>
    </w:rPr>
  </w:style>
  <w:style w:type="character" w:styleId="WW8Num5z4">
    <w:name w:val="WW8Num5z4"/>
    <w:qFormat/>
    <w:rPr>
      <w:rFonts w:ascii="Times New Roman" w:hAnsi="Times New Roman" w:cs="Times New Roman"/>
    </w:rPr>
  </w:style>
  <w:style w:type="character" w:styleId="WW8Num7z0">
    <w:name w:val="WW8Num7z0"/>
    <w:qFormat/>
    <w:rPr>
      <w:b/>
      <w:bCs w:val="false"/>
      <w:sz w:val="24"/>
      <w:szCs w:val="24"/>
    </w:rPr>
  </w:style>
  <w:style w:type="character" w:styleId="WW8Num7z1">
    <w:name w:val="WW8Num7z1"/>
    <w:qFormat/>
    <w:rPr>
      <w:b w:val="false"/>
      <w:bCs/>
      <w:sz w:val="24"/>
      <w:szCs w:val="24"/>
    </w:rPr>
  </w:style>
  <w:style w:type="character" w:styleId="WW8Num7z2">
    <w:name w:val="WW8Num7z2"/>
    <w:qFormat/>
    <w:rPr>
      <w:sz w:val="24"/>
      <w:szCs w:val="24"/>
    </w:rPr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11">
    <w:name w:val="Знак сноски1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563C1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 w:cs="Cambria"/>
      <w:i/>
      <w:iCs/>
      <w:color w:val="243F60"/>
      <w:lang w:val="x-none"/>
    </w:rPr>
  </w:style>
  <w:style w:type="character" w:styleId="7">
    <w:name w:val="Заголовок 7 Знак"/>
    <w:qFormat/>
    <w:rPr>
      <w:rFonts w:ascii="Cambria" w:hAnsi="Cambria" w:cs="Cambria"/>
      <w:i/>
      <w:iCs/>
      <w:color w:val="404040"/>
      <w:lang w:val="x-none"/>
    </w:rPr>
  </w:style>
  <w:style w:type="character" w:styleId="8">
    <w:name w:val="Заголовок 8 Знак"/>
    <w:qFormat/>
    <w:rPr>
      <w:rFonts w:ascii="Cambria" w:hAnsi="Cambria" w:cs="Cambria"/>
      <w:color w:val="4F81BD"/>
      <w:lang w:val="x-none"/>
    </w:rPr>
  </w:style>
  <w:style w:type="character" w:styleId="12">
    <w:name w:val="Заголовок 1 Знак"/>
    <w:qFormat/>
    <w:rPr>
      <w:rFonts w:eastAsia="Calibri"/>
      <w:b/>
      <w:sz w:val="28"/>
      <w:szCs w:val="28"/>
      <w:lang w:val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qFormat/>
    <w:rPr>
      <w:sz w:val="28"/>
    </w:rPr>
  </w:style>
  <w:style w:type="character" w:styleId="Style2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qFormat/>
    <w:rPr>
      <w:rFonts w:ascii="Calibri" w:hAnsi="Calibri" w:eastAsia="Calibri" w:cs="Calibri"/>
      <w:i/>
      <w:iCs/>
      <w:color w:val="000000"/>
      <w:lang w:val="x-none"/>
    </w:rPr>
  </w:style>
  <w:style w:type="character" w:styleId="Style3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qFormat/>
    <w:rPr>
      <w:rFonts w:eastAsia="Calibri"/>
      <w:sz w:val="24"/>
      <w:szCs w:val="24"/>
    </w:rPr>
  </w:style>
  <w:style w:type="character" w:styleId="13">
    <w:name w:val="Подпункт Знак1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qFormat/>
    <w:rPr>
      <w:sz w:val="26"/>
      <w:szCs w:val="26"/>
    </w:rPr>
  </w:style>
  <w:style w:type="character" w:styleId="31">
    <w:name w:val="УРОВЕНЬ_Абзац_тип3 Знак"/>
    <w:qFormat/>
    <w:rPr>
      <w:rFonts w:eastAsia="Calibri"/>
      <w:sz w:val="26"/>
      <w:szCs w:val="28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14">
    <w:name w:val="Знак концевой сноски1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2">
    <w:name w:val="Пункт2 Знак"/>
    <w:qFormat/>
    <w:rPr>
      <w:b/>
      <w:sz w:val="28"/>
    </w:rPr>
  </w:style>
  <w:style w:type="character" w:styleId="15">
    <w:name w:val="УРОВЕНЬ_1. Знак"/>
    <w:qFormat/>
    <w:rPr>
      <w:rFonts w:eastAsia="Calibri"/>
      <w:caps/>
      <w:sz w:val="28"/>
      <w:szCs w:val="28"/>
    </w:rPr>
  </w:style>
  <w:style w:type="character" w:styleId="16">
    <w:name w:val="Неразрешенное упоминание1"/>
    <w:qFormat/>
    <w:rPr>
      <w:color w:val="605E5C"/>
      <w:shd w:fill="E1DFDD" w:val="clear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CharStyle22Exact">
    <w:name w:val="Char Style 22 Exact"/>
    <w:qFormat/>
    <w:rPr>
      <w:spacing w:val="7"/>
      <w:sz w:val="13"/>
      <w:szCs w:val="13"/>
      <w:shd w:fill="FFFFFF" w:val="clear"/>
    </w:rPr>
  </w:style>
  <w:style w:type="character" w:styleId="Style14">
    <w:name w:val="Ссылка указателя"/>
    <w:qFormat/>
    <w:rPr/>
  </w:style>
  <w:style w:type="character" w:styleId="CharStyle11">
    <w:name w:val="Char Style 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bidi="ru-RU"/>
    </w:rPr>
  </w:style>
  <w:style w:type="character" w:styleId="CharStyle64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Style15">
    <w:name w:val="Символ нумерации"/>
    <w:qFormat/>
    <w:rPr/>
  </w:style>
  <w:style w:type="character" w:styleId="CharStyle10">
    <w:name w:val="Char Style 10"/>
    <w:qFormat/>
    <w:rPr>
      <w:rFonts w:ascii="Times New Roman" w:hAnsi="Times New Roman" w:eastAsia="Times New Roman" w:cs="Times New Roman"/>
      <w:color w:val="000000"/>
      <w:spacing w:val="1"/>
      <w:sz w:val="16"/>
      <w:szCs w:val="16"/>
      <w:u w:val="none"/>
      <w:shd w:fill="FFFFFF" w:val="clear"/>
      <w:lang w:val="ru-RU" w:bidi="ru-RU"/>
    </w:rPr>
  </w:style>
  <w:style w:type="character" w:styleId="Style16">
    <w:name w:val="Маркеры"/>
    <w:qFormat/>
    <w:rPr>
      <w:rFonts w:ascii="OpenSymbol;Times New Roman" w:hAnsi="OpenSymbol;Times New Roman" w:eastAsia="OpenSymbol;Times New Roman" w:cs="OpenSymbol;Times New Roman"/>
    </w:rPr>
  </w:style>
  <w:style w:type="character" w:styleId="WW-">
    <w:name w:val="WW-Абзац списка Знак"/>
    <w:qFormat/>
    <w:rPr>
      <w:rFonts w:ascii="Calibri" w:hAnsi="Calibri" w:eastAsia="Calibri" w:cs="Calibri"/>
      <w:sz w:val="24"/>
    </w:rPr>
  </w:style>
  <w:style w:type="character" w:styleId="17">
    <w:name w:val="Основной текст Знак1"/>
    <w:basedOn w:val="DefaultParagraphFont"/>
    <w:qFormat/>
    <w:rPr/>
  </w:style>
  <w:style w:type="character" w:styleId="18">
    <w:name w:val="Текст примечания Знак1"/>
    <w:basedOn w:val="DefaultParagraphFont"/>
    <w:qFormat/>
    <w:rPr/>
  </w:style>
  <w:style w:type="character" w:styleId="Style1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2">
    <w:name w:val="Strong2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23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;Times New Roman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9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110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>
      <w:lang w:val="zxx" w:bidi="zxx"/>
    </w:rPr>
  </w:style>
  <w:style w:type="paragraph" w:styleId="Caption11111111">
    <w:name w:val="caption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23"/>
    <w:qFormat/>
    <w:pPr/>
    <w:rPr/>
  </w:style>
  <w:style w:type="paragraph" w:styleId="Style2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2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3">
    <w:name w:val="Подраздел раздела положения"/>
    <w:basedOn w:val="Normal"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12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3">
    <w:name w:val="Название1"/>
    <w:basedOn w:val="Normal"/>
    <w:qFormat/>
    <w:pPr>
      <w:jc w:val="center"/>
    </w:pPr>
    <w:rPr>
      <w:szCs w:val="20"/>
      <w:lang w:val="x-none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>
    <w:name w:val="Подпункт"/>
    <w:basedOn w:val="Normal"/>
    <w:qFormat/>
    <w:pPr>
      <w:tabs>
        <w:tab w:val="clear" w:pos="720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/>
    </w:rPr>
  </w:style>
  <w:style w:type="paragraph" w:styleId="26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Style26">
    <w:name w:val="Раздел регламента"/>
    <w:basedOn w:val="Normal"/>
    <w:qFormat/>
    <w:pPr/>
    <w:rPr/>
  </w:style>
  <w:style w:type="paragraph" w:styleId="Style27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14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ind w:left="560" w:right="0" w:hanging="0"/>
    </w:pPr>
    <w:rPr>
      <w:rFonts w:cs="Calibri"/>
      <w:sz w:val="20"/>
      <w:szCs w:val="20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ind w:left="0" w:right="0" w:hanging="0"/>
      <w:jc w:val="both"/>
      <w:outlineLvl w:val="0"/>
    </w:pPr>
    <w:rPr>
      <w:b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  <w:lang w:val="x-none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  <w:lang w:val="x-none"/>
    </w:rPr>
  </w:style>
  <w:style w:type="paragraph" w:styleId="IndexHeading">
    <w:name w:val="Index Heading"/>
    <w:basedOn w:val="19"/>
    <w:pPr/>
    <w:rPr/>
  </w:style>
  <w:style w:type="paragraph" w:styleId="115">
    <w:name w:val="Заголовок таблицы ссылок1"/>
    <w:basedOn w:val="Heading1"/>
    <w:next w:val="Normal"/>
    <w:qFormat/>
    <w:pPr>
      <w:keepLines/>
      <w:numPr>
        <w:ilvl w:val="0"/>
        <w:numId w:val="0"/>
      </w:numPr>
      <w:spacing w:before="480" w:after="60"/>
      <w:ind w:left="1224" w:right="0" w:hanging="504"/>
      <w:outlineLvl w:val="9"/>
    </w:pPr>
    <w:rPr>
      <w:rFonts w:ascii="Cambria" w:hAnsi="Cambria" w:cs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/>
    </w:rPr>
  </w:style>
  <w:style w:type="paragraph" w:styleId="Style29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4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 w:cs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cs="Garamond"/>
      <w:sz w:val="24"/>
      <w:szCs w:val="20"/>
    </w:rPr>
  </w:style>
  <w:style w:type="paragraph" w:styleId="28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30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styleId="1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Style3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/>
    </w:rPr>
  </w:style>
  <w:style w:type="paragraph" w:styleId="Style32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>
    <w:name w:val="Подподпункт"/>
    <w:basedOn w:val="Style2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/>
    </w:rPr>
  </w:style>
  <w:style w:type="paragraph" w:styleId="Style34">
    <w:name w:val="УРОВЕНЬ_(а)"/>
    <w:basedOn w:val="ListParagraph"/>
    <w:qFormat/>
    <w:pPr>
      <w:numPr>
        <w:ilvl w:val="0"/>
        <w:numId w:val="5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>
    <w:name w:val="УРОВЕНЬ_-"/>
    <w:basedOn w:val="ListParagraph"/>
    <w:qFormat/>
    <w:pPr>
      <w:numPr>
        <w:ilvl w:val="0"/>
        <w:numId w:val="5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</w:rPr>
  </w:style>
  <w:style w:type="paragraph" w:styleId="29">
    <w:name w:val="УРОВЕНЬ_Абзац_тип2"/>
    <w:basedOn w:val="ListParagraph"/>
    <w:qFormat/>
    <w:pPr>
      <w:numPr>
        <w:ilvl w:val="0"/>
        <w:numId w:val="5"/>
      </w:numPr>
      <w:spacing w:lineRule="exact" w:line="360" w:before="120" w:after="0"/>
      <w:contextualSpacing w:val="false"/>
      <w:jc w:val="both"/>
    </w:pPr>
    <w:rPr>
      <w:sz w:val="26"/>
      <w:szCs w:val="28"/>
    </w:rPr>
  </w:style>
  <w:style w:type="paragraph" w:styleId="36">
    <w:name w:val="УРОВЕНЬ_Абзац_тип3"/>
    <w:basedOn w:val="ListParagraph"/>
    <w:qFormat/>
    <w:pPr>
      <w:numPr>
        <w:ilvl w:val="0"/>
        <w:numId w:val="5"/>
      </w:numPr>
      <w:spacing w:lineRule="exact" w:line="360" w:before="120" w:after="0"/>
      <w:contextualSpacing w:val="false"/>
      <w:jc w:val="both"/>
    </w:pPr>
    <w:rPr>
      <w:sz w:val="26"/>
      <w:szCs w:val="28"/>
    </w:rPr>
  </w:style>
  <w:style w:type="paragraph" w:styleId="Style35">
    <w:name w:val="УРОВЕНЬ_Подпись"/>
    <w:basedOn w:val="ListParagraph"/>
    <w:qFormat/>
    <w:pPr>
      <w:keepNext w:val="true"/>
      <w:numPr>
        <w:ilvl w:val="0"/>
        <w:numId w:val="5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</w:rPr>
  </w:style>
  <w:style w:type="paragraph" w:styleId="117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0"/>
        <w:tab w:val="left" w:pos="567" w:leader="none"/>
      </w:tabs>
      <w:spacing w:before="480" w:after="240"/>
      <w:ind w:left="567" w:right="0" w:hanging="567"/>
      <w:jc w:val="both"/>
      <w:outlineLvl w:val="9"/>
    </w:pPr>
    <w:rPr>
      <w:rFonts w:ascii="Arial" w:hAnsi="Arial" w:eastAsia="Times New Roman" w:cs="Arial"/>
      <w:bCs/>
      <w:kern w:val="2"/>
      <w:sz w:val="40"/>
      <w:szCs w:val="20"/>
      <w:lang w:val="ru-RU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6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6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8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210">
    <w:name w:val="Style 2"/>
    <w:basedOn w:val="Normal"/>
    <w:qFormat/>
    <w:pPr>
      <w:widowControl w:val="false"/>
      <w:shd w:fill="FFFFFF" w:val="clear"/>
      <w:spacing w:lineRule="exact" w:line="269"/>
      <w:ind w:left="0" w:right="0" w:hanging="180"/>
      <w:jc w:val="right"/>
    </w:pPr>
    <w:rPr>
      <w:spacing w:val="7"/>
      <w:sz w:val="13"/>
      <w:szCs w:val="13"/>
    </w:rPr>
  </w:style>
  <w:style w:type="paragraph" w:styleId="Style37">
    <w:name w:val="Содержимое врезки"/>
    <w:basedOn w:val="Normal"/>
    <w:qFormat/>
    <w:pPr/>
    <w:rPr/>
  </w:style>
  <w:style w:type="paragraph" w:styleId="Style38">
    <w:name w:val="Содержимое таблицы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Style38"/>
    <w:qFormat/>
    <w:pPr>
      <w:jc w:val="center"/>
    </w:pPr>
    <w:rPr>
      <w:b/>
      <w:bCs/>
    </w:rPr>
  </w:style>
  <w:style w:type="paragraph" w:styleId="Style4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WW-ListParagraph">
    <w:name w:val="WW-List Paragraph"/>
    <w:basedOn w:val="Normal"/>
    <w:qFormat/>
    <w:pPr>
      <w:spacing w:before="0" w:after="0"/>
      <w:ind w:left="720" w:right="0" w:hanging="0"/>
      <w:contextualSpacing/>
    </w:pPr>
    <w:rPr>
      <w:rFonts w:ascii="Calibri" w:hAnsi="Calibri" w:eastAsia="Calibri" w:cs="Calibri"/>
      <w:sz w:val="24"/>
      <w:szCs w:val="24"/>
    </w:rPr>
  </w:style>
  <w:style w:type="paragraph" w:styleId="TableGrid">
    <w:name w:val="Table Grid"/>
    <w:basedOn w:val="NormalTable"/>
    <w:qFormat/>
    <w:pPr/>
    <w:rPr>
      <w:sz w:val="20"/>
      <w:szCs w:val="20"/>
    </w:rPr>
  </w:style>
  <w:style w:type="paragraph" w:styleId="Style4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461348661">
    <w:name w:val="461348661"/>
    <w:qFormat/>
  </w:style>
  <w:style w:type="numbering" w:styleId="41832730421">
    <w:name w:val="41832730421"/>
    <w:qFormat/>
  </w:style>
  <w:style w:type="numbering" w:styleId="38119909481">
    <w:name w:val="3811990948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229</TotalTime>
  <Application>AlterOffice/3.4.0.9$Linux_X86_64 LibreOffice_project/b8daf9e823b1a5463a2f48435ddc2e8696e7d4fc</Application>
  <AppVersion>15.0000</AppVersion>
  <Pages>16</Pages>
  <Words>3369</Words>
  <Characters>23844</Characters>
  <CharactersWithSpaces>26915</CharactersWithSpaces>
  <Paragraphs>358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2023-11-15T10:26:00Z</dcterms:created>
  <dc:creator>Быстров Олег Геннадьевич</dc:creator>
  <dc:description/>
  <cp:keywords/>
  <dc:language>ru-RU</dc:language>
  <cp:lastModifiedBy>vasilevaiv@Elektra.local</cp:lastModifiedBy>
  <cp:lastPrinted>2025-07-29T11:06:29Z</cp:lastPrinted>
  <dcterms:modified xsi:type="dcterms:W3CDTF">2026-06-08T10:52:12Z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