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6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3"/>
        <w:gridCol w:w="724"/>
        <w:gridCol w:w="4534"/>
      </w:tblGrid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отдела комплексного обслуживания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 » июня 2026 года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 » июня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ОКПД2 81.30.10.000 Оказание услуг по обслуживанию территорий механизированным способом на объектах филиала ПАО "РусГидро"-"Саратовская ГЭС"</w:t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Лот № 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1" w:name="_Toc54643695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0"/>
        <w:gridCol w:w="6282"/>
      </w:tblGrid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Технические требования (ТТ)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Заказчик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Филиал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филиал ПАО «РусГидро»-«Саратовская ГЭС»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Объекты (Объект воздействия)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Здания, сооружения и территории Филиала,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3" w:name="_Toc46743506"/>
      <w:bookmarkStart w:id="4" w:name="_Toc46743506"/>
      <w:r>
        <w:br w:type="page"/>
      </w:r>
    </w:p>
    <w:p>
      <w:pPr>
        <w:pStyle w:val="ListParagraph"/>
        <w:numPr>
          <w:ilvl w:val="1"/>
          <w:numId w:val="3"/>
        </w:numPr>
        <w:ind w:left="0" w:firstLine="850"/>
        <w:rPr/>
      </w:pPr>
      <w:bookmarkStart w:id="5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ОКПД2 81.30.10.000 Оказание услуг по обслуживанию территорий механизированным способом на объектах филиала ПАО "РусГидро"-"Саратовская ГЭС"</w:t>
      </w:r>
      <w:bookmarkStart w:id="6" w:name="_Toc46743507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850"/>
        <w:rPr>
          <w:b/>
          <w:bCs/>
        </w:rPr>
      </w:pPr>
      <w:bookmarkStart w:id="7" w:name="_Toc54643697"/>
      <w:r>
        <w:rPr>
          <w:b/>
          <w:bCs/>
        </w:rPr>
        <w:t xml:space="preserve">Цель </w:t>
      </w:r>
      <w:bookmarkEnd w:id="6"/>
      <w:r>
        <w:rPr>
          <w:b/>
          <w:bCs/>
        </w:rPr>
        <w:t xml:space="preserve">оказания услуг 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Исполнение доходного договора, заключенного между филиалом ПАО «РусГидро» - «Саратовская ГЭС» и АО «СК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Уборка, погрузка, вывоз снега с территории объекта филиала ПАО «РусГидро» - «Саратовская ГЭС» (далее - Филиал), указанного в Таблице №1 настоящих Технических требований (далее – ТТ), осуществляется в целях обеспечения её надлежащего содержания в зимний период, обеспечения беспрепятственного прохода людей и проезда транспорта.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850"/>
        <w:rPr>
          <w:b/>
          <w:bCs/>
        </w:rPr>
      </w:pPr>
      <w:bookmarkStart w:id="8" w:name="_Toc54643698"/>
      <w:bookmarkStart w:id="9" w:name="_Toc46743508"/>
      <w:r>
        <w:rPr>
          <w:b/>
          <w:bCs/>
        </w:rPr>
        <w:t>Существующее положение</w:t>
      </w:r>
      <w:bookmarkEnd w:id="9"/>
      <w:r>
        <w:rPr>
          <w:b/>
          <w:bCs/>
        </w:rPr>
        <w:t xml:space="preserve"> 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Здания, сооружения и территория филиала ПАО «РусГидро» - «Саратовской ГЭС»,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надлежащем виде.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Работы выполняются на действующих энергетических объектах при работе гидросилового оборудования, находящегося под высоким напряжением.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85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bookmarkStart w:id="10" w:name="_Toc54643699"/>
      <w:r>
        <w:rPr>
          <w:b/>
          <w:bCs/>
          <w:sz w:val="24"/>
          <w:szCs w:val="24"/>
        </w:rPr>
        <w:t>Таблица 1. Перечень объектов заказчика</w:t>
      </w:r>
      <w:bookmarkEnd w:id="10"/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7"/>
        <w:gridCol w:w="1872"/>
        <w:gridCol w:w="3543"/>
        <w:gridCol w:w="2268"/>
        <w:gridCol w:w="1569"/>
      </w:tblGrid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филиал ПАО "РусГидро"-"Саратовская ГЭС"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Россия, Саратовская область, Балаково, ул. Заовражная,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Прилегающая территория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Эксплуатирующая организация филиал ПАО "РусГидро"-"Саратовская ГЭС"</w:t>
            </w:r>
          </w:p>
        </w:tc>
      </w:tr>
    </w:tbl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850"/>
        <w:jc w:val="both"/>
        <w:rPr/>
      </w:pPr>
      <w:r>
        <w:rPr>
          <w:b/>
          <w:bCs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1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r>
        <w:rPr/>
        <w:t xml:space="preserve"> </w:t>
      </w:r>
    </w:p>
    <w:p>
      <w:pPr>
        <w:pStyle w:val="Normal"/>
        <w:keepNext w:val="true"/>
        <w:numPr>
          <w:ilvl w:val="2"/>
          <w:numId w:val="3"/>
        </w:numPr>
        <w:spacing w:before="120" w:after="60"/>
        <w:ind w:left="0" w:firstLine="737"/>
        <w:jc w:val="both"/>
        <w:outlineLvl w:val="2"/>
        <w:rPr>
          <w:rFonts w:eastAsia="Calibri"/>
          <w:bCs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До начала производства работ Исполнитель обязан разработать технологическую карту на выполнение работ по</w:t>
      </w:r>
      <w:r>
        <w:rPr>
          <w:rFonts w:eastAsia="Calibri"/>
          <w:sz w:val="24"/>
          <w:szCs w:val="24"/>
          <w:lang w:eastAsia="x-none"/>
        </w:rPr>
        <w:t xml:space="preserve"> механизированной уборке и вывозу снега на объекте филиала ПАО «РусГидро» - «Саратовская ГЭС». </w:t>
      </w:r>
      <w:r>
        <w:rPr>
          <w:rFonts w:eastAsia="Calibri"/>
          <w:bCs/>
          <w:sz w:val="24"/>
          <w:szCs w:val="24"/>
          <w:lang w:eastAsia="x-none"/>
        </w:rPr>
        <w:t>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по предварительной заявке Заказчика, после получения  заявки от Заказчика, Исполнитель должен в срок, указанный в заявке, приступить к оказанию услуг по указанному в заявке адресу.  Заявки передаются любым доступным способом связи (телефоная, электронная, факсимильная) , обеспечивающим фиксацию факта получения Заявки.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Срок оказания услуг по уборке снега, погрузке и вывозу снега на специализированный полигон по каждой заявке, составляет не более суток с даты выхода Исполнителя на Филиал.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за счет средств Исполнителя.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</w:t>
      </w:r>
      <w:r>
        <w:rPr/>
        <w:t xml:space="preserve"> </w:t>
      </w:r>
      <w:r>
        <w:rPr>
          <w:sz w:val="24"/>
          <w:szCs w:val="24"/>
          <w:lang w:eastAsia="x-none"/>
        </w:rPr>
        <w:t>в любом случае не позднее следующего рабочего дня после обнаружения.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асфальтовых покрытий,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также возмещает убытки, причиненные Заказчику в результате этих нарушений.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уборки Исполнитель несет полную ответственность за безопасность движения транспорта, связанную с оказанием Услуг.</w:t>
      </w:r>
      <w:bookmarkStart w:id="12" w:name="_Toc50125126"/>
      <w:bookmarkStart w:id="13" w:name="_Toc54643701"/>
    </w:p>
    <w:p>
      <w:pPr>
        <w:pStyle w:val="ListParagraph"/>
        <w:ind w:left="425" w:hanging="0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850"/>
        <w:jc w:val="both"/>
        <w:rPr>
          <w:b/>
          <w:lang w:eastAsia="x-none"/>
        </w:rPr>
      </w:pPr>
      <w:r>
        <w:rPr>
          <w:b/>
          <w:lang w:eastAsia="x-none"/>
        </w:rPr>
        <w:t>Требования к наличию материально технических ресурсов</w:t>
      </w:r>
    </w:p>
    <w:p>
      <w:pPr>
        <w:pStyle w:val="ListParagraph"/>
        <w:numPr>
          <w:ilvl w:val="2"/>
          <w:numId w:val="3"/>
        </w:numPr>
        <w:ind w:left="0" w:firstLine="907"/>
        <w:jc w:val="both"/>
        <w:rPr/>
      </w:pPr>
      <w:r>
        <w:rPr/>
        <w:t xml:space="preserve">В рамках оказания услуг необходимо оказать услуги по механизированной уборке, погрузке и вывозу снега с использованием специализированной техники с экипажем Исполнителя. 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Исполнитель предоставляет технику на основании Заявок Заказчика в соответствии с перечнем и объемом, указанным в Таблице 2 настоящих Технических требований.</w:t>
      </w:r>
    </w:p>
    <w:p>
      <w:pPr>
        <w:pStyle w:val="ListParagraph"/>
        <w:ind w:left="0" w:firstLine="850"/>
        <w:jc w:val="both"/>
        <w:rPr>
          <w:b/>
          <w:bCs/>
        </w:rPr>
      </w:pPr>
      <w:r>
        <w:rPr>
          <w:b/>
          <w:bCs/>
        </w:rPr>
        <w:t>Таблица 2 Перечень транспортных средств</w:t>
      </w:r>
    </w:p>
    <w:tbl>
      <w:tblPr>
        <w:tblW w:w="9900" w:type="dxa"/>
        <w:jc w:val="left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5"/>
        <w:gridCol w:w="2974"/>
        <w:gridCol w:w="3185"/>
        <w:gridCol w:w="3015"/>
      </w:tblGrid>
      <w:tr>
        <w:trPr>
          <w:trHeight w:val="395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транспортного средства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Технические характеристики ТС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Кол-во единиц (не менее)</w:t>
            </w:r>
          </w:p>
        </w:tc>
      </w:tr>
      <w:tr>
        <w:trPr>
          <w:trHeight w:val="309" w:hRule="atLeast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Автомобиль-самосвал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 не менее 10 т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дорожные комбинированные, мощность от 210 до 270 л.с.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кузова пескоразбрасывателя 4 м3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одноковшовый универсальный фронтальный пневмоколесный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вместимость основного ковша не менее 2 м3, 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</w:t>
            </w:r>
            <w:bookmarkStart w:id="14" w:name="_GoBack"/>
            <w:bookmarkEnd w:id="14"/>
          </w:p>
        </w:tc>
      </w:tr>
      <w:tr>
        <w:trPr>
          <w:trHeight w:val="404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дорожные комбинированные, мощность менее 210 л.с.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кузова пескоразбрасывателя 4 м3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</w:tbl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Техника предоставляется в технически исправном состоянии. Осуществление ежедневного предрейсового и послерейсового инструментального контроля техники.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Наличие и предоставление подменных единиц техники в случае неисправности основных единиц техники.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 xml:space="preserve"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обстоятельств, препятствующих выполнения обязательств Исполнителя по условиям договора. 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Техника не должна быть заложена или арестована, или являться предметом исков третьих лиц.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 xml:space="preserve">Транспортное средство может быть на любом праве владения на правах собственности / аренды/ лизинга /ином законном праве владения. Исполнитель, по запросу Заказчика предоставляет следующие подтверждающие документы: </w:t>
      </w:r>
    </w:p>
    <w:p>
      <w:pPr>
        <w:pStyle w:val="ListParagraph"/>
        <w:ind w:left="0" w:firstLine="850"/>
        <w:jc w:val="both"/>
        <w:rPr/>
      </w:pPr>
      <w:r>
        <w:rPr/>
        <w:t xml:space="preserve">- паспорт транспортного средства (ПТС) </w:t>
      </w:r>
    </w:p>
    <w:p>
      <w:pPr>
        <w:pStyle w:val="ListParagraph"/>
        <w:ind w:left="0" w:firstLine="850"/>
        <w:jc w:val="both"/>
        <w:rPr/>
      </w:pPr>
      <w:r>
        <w:rPr/>
        <w:t>- копия договора аренды (в случае владения по договору аренды)</w:t>
      </w:r>
    </w:p>
    <w:p>
      <w:pPr>
        <w:pStyle w:val="ListParagraph"/>
        <w:ind w:left="0" w:firstLine="850"/>
        <w:jc w:val="both"/>
        <w:rPr/>
      </w:pPr>
      <w:r>
        <w:rPr/>
        <w:t>- копия договора лизинга (в случае владения по договору лизинга)</w:t>
      </w:r>
    </w:p>
    <w:p>
      <w:pPr>
        <w:pStyle w:val="ListParagraph"/>
        <w:ind w:left="0" w:firstLine="850"/>
        <w:jc w:val="both"/>
        <w:rPr/>
      </w:pPr>
      <w:r>
        <w:rPr/>
        <w:t>-копия иного документа, подтверждающего законное право владения (в случае владения на ином основании).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 xml:space="preserve"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 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850"/>
        <w:jc w:val="both"/>
        <w:rPr>
          <w:b/>
          <w:lang w:eastAsia="x-none"/>
        </w:rPr>
      </w:pPr>
      <w:r>
        <w:rPr>
          <w:b/>
          <w:lang w:eastAsia="x-none"/>
        </w:rPr>
        <w:t xml:space="preserve">Требования к количеству и квалификации персонала </w:t>
      </w:r>
    </w:p>
    <w:p>
      <w:pPr>
        <w:pStyle w:val="Heading4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b w:val="false"/>
          <w:bCs w:val="false"/>
        </w:rPr>
        <w:t xml:space="preserve"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</w:rPr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</w:rPr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</w:rPr>
        <w:t>Исполнитель для проведения работ обязуется направить на Филиал персонал для выполнения услуг с помощью спецтехники в количественном составе, необходимом для выполнения работ. До начала работ Исполнитель назначает лиц, ответственных за соблюдение норм и требований в области охраны труда и промышленной безопасности при выполнении работ/услуг на Филиале (руководитель работ, производитель работ).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</w:rPr>
        <w:t>Исполнитель допускается на Филиал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</w:rPr>
        <w:t xml:space="preserve">Исполнитель до начала работ согласовывает с Филиалом необходимые для выполнения работ организационно-технологические документы. 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17" w:leader="none"/>
        </w:tabs>
        <w:ind w:left="0" w:firstLine="850"/>
        <w:jc w:val="both"/>
        <w:rPr/>
      </w:pPr>
      <w:r>
        <w:rPr>
          <w:rFonts w:eastAsia="Calibri"/>
          <w:sz w:val="24"/>
          <w:szCs w:val="24"/>
          <w:lang w:val="x-none" w:eastAsia="x-none"/>
        </w:rPr>
        <w:t>Документы, подтверждающие квалификацию персонала и прохождение обучения, необходимого для выполнения работ, Исполнитель предоставляет после заключения договора и до начала предоставления/выполнения услуг на объекте представителю Заказчика на Филиале.</w:t>
      </w:r>
    </w:p>
    <w:p>
      <w:pPr>
        <w:pStyle w:val="Normal"/>
        <w:tabs>
          <w:tab w:val="clear" w:pos="708"/>
          <w:tab w:val="left" w:pos="517" w:leader="none"/>
        </w:tabs>
        <w:ind w:firstLine="850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</w:r>
    </w:p>
    <w:p>
      <w:pPr>
        <w:pStyle w:val="ListParagraph"/>
        <w:numPr>
          <w:ilvl w:val="1"/>
          <w:numId w:val="3"/>
        </w:numPr>
        <w:ind w:left="0" w:firstLine="850"/>
        <w:jc w:val="both"/>
        <w:rPr/>
      </w:pPr>
      <w:r>
        <w:rPr>
          <w:b/>
          <w:bCs/>
        </w:rPr>
        <w:t>Иные требования и сведения общего характера</w:t>
      </w:r>
      <w:r>
        <w:rPr/>
        <w:t xml:space="preserve"> </w:t>
      </w:r>
      <w:bookmarkEnd w:id="13"/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Соблюдение правил дорожного движения.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Своевременное и надлежащее ведение путевой документации;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ListParagraph"/>
        <w:numPr>
          <w:ilvl w:val="2"/>
          <w:numId w:val="3"/>
        </w:numPr>
        <w:ind w:left="0" w:firstLine="850"/>
        <w:jc w:val="both"/>
        <w:rPr/>
      </w:pPr>
      <w:r>
        <w:rPr/>
        <w:t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</w:t>
      </w:r>
    </w:p>
    <w:p>
      <w:pPr>
        <w:pStyle w:val="Normal"/>
        <w:jc w:val="both"/>
        <w:rPr>
          <w:rFonts w:eastAsia="Calibri"/>
          <w:i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sz w:val="28"/>
          <w:szCs w:val="28"/>
        </w:rPr>
      </w:pPr>
      <w:bookmarkStart w:id="15" w:name="_Toc51339693"/>
      <w:bookmarkStart w:id="16" w:name="_Toc54643702"/>
      <w:r>
        <w:rPr>
          <w:b/>
          <w:bCs/>
          <w:sz w:val="28"/>
          <w:szCs w:val="28"/>
        </w:rPr>
        <w:t>Требования к продукции</w:t>
      </w:r>
      <w:bookmarkEnd w:id="15"/>
      <w:bookmarkEnd w:id="16"/>
    </w:p>
    <w:p>
      <w:pPr>
        <w:pStyle w:val="ListParagraph"/>
        <w:numPr>
          <w:ilvl w:val="1"/>
          <w:numId w:val="3"/>
        </w:numPr>
        <w:spacing w:lineRule="auto" w:line="276"/>
        <w:ind w:left="0" w:firstLine="425"/>
        <w:jc w:val="both"/>
        <w:rPr/>
      </w:pPr>
      <w:bookmarkStart w:id="17" w:name="_Toc54643703"/>
      <w:r>
        <w:rPr>
          <w:b/>
          <w:bCs/>
        </w:rPr>
        <w:t>Требования к объемам и срокам оказания услуг</w:t>
      </w:r>
      <w:bookmarkEnd w:id="17"/>
    </w:p>
    <w:p>
      <w:pPr>
        <w:pStyle w:val="ListParagraph"/>
        <w:numPr>
          <w:ilvl w:val="2"/>
          <w:numId w:val="3"/>
        </w:numPr>
        <w:spacing w:lineRule="auto" w:line="276"/>
        <w:ind w:left="0" w:firstLine="425"/>
        <w:jc w:val="both"/>
        <w:rPr/>
      </w:pPr>
      <w:bookmarkStart w:id="18" w:name="_Toc54643704"/>
      <w:r>
        <w:rPr>
          <w:b/>
          <w:bCs/>
        </w:rPr>
        <w:t>Требования к перечню и объему услуг</w:t>
      </w:r>
      <w:bookmarkEnd w:id="18"/>
    </w:p>
    <w:p>
      <w:pPr>
        <w:pStyle w:val="Normal"/>
        <w:spacing w:lineRule="auto" w:line="276"/>
        <w:rPr/>
      </w:pPr>
      <w:bookmarkStart w:id="19" w:name="_Toc54643705"/>
      <w:bookmarkStart w:id="20" w:name="_Toc51339695"/>
      <w:r>
        <w:rPr>
          <w:b/>
          <w:bCs/>
          <w:sz w:val="24"/>
          <w:szCs w:val="24"/>
        </w:rPr>
        <w:t xml:space="preserve">Таблица 4. Перечень </w:t>
      </w:r>
      <w:bookmarkEnd w:id="20"/>
      <w:r>
        <w:rPr>
          <w:b/>
          <w:bCs/>
          <w:sz w:val="24"/>
          <w:szCs w:val="24"/>
        </w:rPr>
        <w:t>и объем оказываемых услуг</w:t>
      </w:r>
      <w:bookmarkEnd w:id="19"/>
    </w:p>
    <w:tbl>
      <w:tblPr>
        <w:tblW w:w="9900" w:type="dxa"/>
        <w:jc w:val="left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"/>
        <w:gridCol w:w="4043"/>
        <w:gridCol w:w="2984"/>
        <w:gridCol w:w="2312"/>
      </w:tblGrid>
      <w:tr>
        <w:trPr>
          <w:trHeight w:val="39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Единицы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Количество*</w:t>
            </w:r>
          </w:p>
        </w:tc>
      </w:tr>
      <w:tr>
        <w:trPr>
          <w:trHeight w:val="309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1.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автомобиля-самосвала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570</w:t>
            </w:r>
          </w:p>
        </w:tc>
      </w:tr>
      <w:tr>
        <w:trPr>
          <w:trHeight w:val="52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2.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м</w:t>
            </w:r>
            <w:r>
              <w:rPr>
                <w:sz w:val="20"/>
                <w:szCs w:val="20"/>
                <w:shd w:fill="auto" w:val="clear"/>
              </w:rPr>
              <w:t>ашины дорожн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 xml:space="preserve"> комбинированн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>, мощность</w:t>
            </w:r>
            <w:r>
              <w:rPr>
                <w:sz w:val="20"/>
                <w:szCs w:val="20"/>
                <w:shd w:fill="auto" w:val="clear"/>
              </w:rPr>
              <w:t>ю</w:t>
            </w:r>
            <w:r>
              <w:rPr>
                <w:sz w:val="20"/>
                <w:szCs w:val="20"/>
                <w:shd w:fill="auto" w:val="clear"/>
              </w:rPr>
              <w:t xml:space="preserve"> от 210 до 270 л.с.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22,91</w:t>
            </w:r>
          </w:p>
        </w:tc>
      </w:tr>
      <w:tr>
        <w:trPr>
          <w:trHeight w:val="40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3.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погрузчика одноковшового универсального фронтального пневмоколесного)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438</w:t>
            </w:r>
          </w:p>
        </w:tc>
      </w:tr>
      <w:tr>
        <w:trPr>
          <w:trHeight w:val="40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4.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м</w:t>
            </w:r>
            <w:r>
              <w:rPr>
                <w:sz w:val="20"/>
                <w:szCs w:val="20"/>
                <w:shd w:fill="auto" w:val="clear"/>
              </w:rPr>
              <w:t>ашины дорожн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 xml:space="preserve"> комбинированн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>, мощность</w:t>
            </w:r>
            <w:r>
              <w:rPr>
                <w:sz w:val="20"/>
                <w:szCs w:val="20"/>
                <w:shd w:fill="auto" w:val="clear"/>
              </w:rPr>
              <w:t>ю</w:t>
            </w:r>
            <w:r>
              <w:rPr>
                <w:sz w:val="20"/>
                <w:szCs w:val="20"/>
                <w:shd w:fill="auto" w:val="clear"/>
              </w:rPr>
              <w:t xml:space="preserve"> менее 210 л.с.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92,77</w:t>
            </w:r>
          </w:p>
        </w:tc>
      </w:tr>
    </w:tbl>
    <w:p>
      <w:pPr>
        <w:pStyle w:val="Normal"/>
        <w:ind w:firstLine="284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*Информация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b/>
        </w:rPr>
      </w:pPr>
      <w:bookmarkStart w:id="21" w:name="_Toc54643706"/>
      <w:bookmarkStart w:id="22" w:name="_Toc51339696"/>
      <w:r>
        <w:rPr>
          <w:b/>
          <w:bCs/>
        </w:rPr>
        <w:t>Требования</w:t>
      </w:r>
      <w:r>
        <w:rPr>
          <w:b/>
        </w:rPr>
        <w:t xml:space="preserve"> </w:t>
      </w:r>
      <w:bookmarkEnd w:id="22"/>
      <w:r>
        <w:rPr>
          <w:b/>
        </w:rPr>
        <w:t>к срокам оказания услуг</w:t>
      </w:r>
      <w:bookmarkEnd w:id="21"/>
    </w:p>
    <w:p>
      <w:pPr>
        <w:pStyle w:val="Normal"/>
        <w:rPr>
          <w:b/>
          <w:bCs/>
          <w:sz w:val="24"/>
          <w:szCs w:val="24"/>
        </w:rPr>
      </w:pPr>
      <w:bookmarkStart w:id="23" w:name="_Toc54643707"/>
      <w:bookmarkStart w:id="24" w:name="_Toc50125127"/>
      <w:bookmarkStart w:id="25" w:name="_Toc51339697"/>
      <w:bookmarkEnd w:id="12"/>
      <w:r>
        <w:rPr>
          <w:b/>
          <w:bCs/>
          <w:sz w:val="24"/>
          <w:szCs w:val="24"/>
        </w:rPr>
        <w:t xml:space="preserve">Таблица 5. </w:t>
      </w:r>
      <w:bookmarkStart w:id="26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4"/>
      <w:bookmarkEnd w:id="25"/>
      <w:bookmarkEnd w:id="26"/>
      <w:r>
        <w:rPr>
          <w:b/>
          <w:bCs/>
          <w:sz w:val="24"/>
          <w:szCs w:val="24"/>
        </w:rPr>
        <w:t>оказания услуг</w:t>
      </w:r>
      <w:bookmarkEnd w:id="23"/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5"/>
        <w:gridCol w:w="3366"/>
        <w:gridCol w:w="2444"/>
        <w:gridCol w:w="3543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x-none"/>
              </w:rPr>
              <w:t>ОКПД2 81.30.10.000 Оказание услуг по обслуживанию территорий механизированным способом на объектах филиала ПАО "РусГидро"-"Саратовская ГЭС"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firstLine="425"/>
        <w:jc w:val="both"/>
        <w:rPr>
          <w:b/>
          <w:bCs/>
        </w:rPr>
      </w:pPr>
      <w:bookmarkStart w:id="27" w:name="_Toc54643709"/>
      <w:bookmarkStart w:id="28" w:name="_Toc54643708"/>
      <w:bookmarkStart w:id="29" w:name="_Toc46743511"/>
      <w:r>
        <w:rPr>
          <w:b/>
          <w:bCs/>
        </w:rPr>
        <w:t xml:space="preserve">Требования к </w:t>
      </w:r>
      <w:bookmarkEnd w:id="29"/>
      <w:r>
        <w:rPr>
          <w:b/>
          <w:bCs/>
        </w:rPr>
        <w:t>качеству услуг</w:t>
      </w:r>
      <w:bookmarkEnd w:id="28"/>
    </w:p>
    <w:p>
      <w:pPr>
        <w:pStyle w:val="Normal"/>
        <w:rPr>
          <w:b/>
          <w:bCs/>
          <w:sz w:val="24"/>
          <w:szCs w:val="24"/>
        </w:rPr>
      </w:pPr>
      <w:bookmarkStart w:id="30" w:name="_Toc51339698"/>
      <w:r>
        <w:rPr>
          <w:b/>
          <w:bCs/>
          <w:sz w:val="24"/>
          <w:szCs w:val="24"/>
        </w:rPr>
        <w:t xml:space="preserve">Таблица 6. Требования к </w:t>
      </w:r>
      <w:bookmarkEnd w:id="30"/>
      <w:r>
        <w:rPr>
          <w:b/>
          <w:bCs/>
          <w:sz w:val="24"/>
          <w:szCs w:val="24"/>
        </w:rPr>
        <w:t>качеству услуг</w:t>
      </w:r>
      <w:bookmarkEnd w:id="27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Fonts w:eastAsia="Calibri"/>
          <w:iCs/>
          <w:sz w:val="24"/>
          <w:szCs w:val="20"/>
          <w:lang w:eastAsia="x-none"/>
        </w:rPr>
        <w:t>ОКПД2 81.30.10.000 Оказание услуг по обслуживанию территорий механизированным способом на объектах филиала ПАО "РусГидро"-"Саратовская ГЭС"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fff6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1804"/>
        <w:gridCol w:w="1191"/>
        <w:gridCol w:w="2995"/>
        <w:gridCol w:w="2590"/>
        <w:gridCol w:w="2828"/>
        <w:gridCol w:w="2658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8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8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1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1"/>
          </w:p>
        </w:tc>
        <w:tc>
          <w:tcPr>
            <w:tcW w:w="1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1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выполняет уборку и вывоз снега, наледи (не допускается скопление снега в одном месте на территории филиала более 10 м3, не допускается сталкивание снега в сторону кабельных трасс и инженерных ограждений). Исполнитель обеспечивает вывоз снега с территорий филиала на места складирования, согласованные с городской администрацией г. Перми.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персонала, а также обеспечивает персонал средствами индивидуальной защиты, в том числе от падения с высоты.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поддержание чистоты в соответствии с Стандартом обслуживания зданий и территорий Группы РусГидро» утверждённый приказом №967 от 12.12.2022 г. ПАО «РусГидро (предоставляется по запросу).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обязательств.</w:t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9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29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 осуществляется в соответствии с Методикой допуска персонала подрядных организаций на объектах ПАО «РусГидро» (утв. приказом ПАО «РусГидро» № 300 от 28.04.2023 г.) (Предоставляется по запросу Исполнителя).</w:t>
            </w:r>
          </w:p>
        </w:tc>
        <w:tc>
          <w:tcPr>
            <w:tcW w:w="2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9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29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Допуск на рабочие места выполняет персонал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 Исполнитель обеспечивает подготовку рабочей площадки.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 Исполнитель обеспечивает соблюдение техники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Приемочный контроль.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Перечень этапов и видов услуг, подлежащих приемке, должен быть согласован с Заказчиком.</w:t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Приоритетность и сроки очистки проходов, проездов и подходов к зданиям, сооружениям, площадкам и оборудованию от снега: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 Подходы к пожарным гидрантам - срок выполнения работ 24 часа. При непрекращающемся снегопаде расчистка ведется постоянно.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2.Пожарные проезды на территории ГЭС - 4 часа.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3.Пешеходные проходы к зданиям (служебным, складским, производственным) и сооружениям - 24 часа. Проходы к редко используемым зданиям- 48 часов.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Мониторинг состояний территории и сооружений проводится ежедневно.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5. Уборка территорий от снега производится по фактической погоде. Планирование работ по очистке территорий производится заблаговременно с учетом погодных условий. Основные проходы к зданиям СПК, ЦПУ, пожарные проезды должны быть очищены от снега и посыпаны от скольжения к 07-30 часам, в объеме достаточном для безопасного прохода людей.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Услуга считается выполненной своевременно, если она оказана в сроки, указанные в Заявке, направляемой Заказчиком в адрес Исполнителя о необходимости оказания услуг, а также при отсутствии претензий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Критерии качества, оцениваемые Заказчиком: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-Убранные территории должны быть чистыми.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Качество содержания территории определяется замером глубины снежного покрова в местах прохода персонала (или проезда транспорта) глубина снежного покрова: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до 7 см – удовлетворительно,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более 7 см не удовлетворительно.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Посыпка проходов ПСС: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посыпано без пропусков – удовлетворительно,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не посыпано, посыпано с пропусками – не удовлетворительно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уборки и очистки территорий – в течении 3 дней (до периода выпадения атмосферных осадков).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Акты об оказании Услуг либо УПД с приложением Отчета об оказании Услуг, путевых листов с указанием часов работы механизмов и иных отчетных документов.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либо гражданско-правовым договорам) квалифицированный персонал в количестве не менее указанного в Таблице № 3 настоящих ТТ.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начала проведения работ в рамках исполнения договора после его заключения Исполнитель представляет список персонала, копии квалификационных и аттестационных документов и иные документы в соответствии с Таблицей № 3 настоящих ТТ.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9"/>
        </w:numPr>
        <w:ind w:left="0" w:hanging="0"/>
        <w:jc w:val="center"/>
        <w:rPr>
          <w:b/>
          <w:bCs/>
          <w:sz w:val="28"/>
          <w:szCs w:val="28"/>
        </w:rPr>
      </w:pPr>
      <w:bookmarkStart w:id="32" w:name="_Toc146285307"/>
      <w:bookmarkStart w:id="33" w:name="_Toc53393312"/>
      <w:r>
        <w:rPr>
          <w:b/>
          <w:bCs/>
          <w:sz w:val="28"/>
          <w:szCs w:val="28"/>
        </w:rPr>
        <w:t>Требования к документации по ценообразованию</w:t>
      </w:r>
      <w:bookmarkEnd w:id="33"/>
      <w:r>
        <w:rPr>
          <w:b/>
          <w:bCs/>
          <w:sz w:val="28"/>
          <w:szCs w:val="28"/>
        </w:rPr>
        <w:t xml:space="preserve"> на этапе закупки</w:t>
      </w:r>
      <w:bookmarkEnd w:id="32"/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ind w:firstLine="709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  <w:r>
        <w:rPr>
          <w:sz w:val="24"/>
          <w:szCs w:val="24"/>
        </w:rPr>
        <w:t xml:space="preserve"> (Приложение №2 к Документации о закупке)</w:t>
      </w:r>
    </w:p>
    <w:p>
      <w:pPr>
        <w:pStyle w:val="Normal"/>
        <w:ind w:firstLine="709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</w:r>
    </w:p>
    <w:p>
      <w:pPr>
        <w:pStyle w:val="ListParagraph"/>
        <w:numPr>
          <w:ilvl w:val="0"/>
          <w:numId w:val="9"/>
        </w:numPr>
        <w:ind w:left="0" w:hanging="0"/>
        <w:jc w:val="center"/>
        <w:rPr>
          <w:b/>
          <w:bCs/>
          <w:sz w:val="28"/>
          <w:szCs w:val="28"/>
        </w:rPr>
      </w:pPr>
      <w:bookmarkStart w:id="34" w:name="_Toc146285308"/>
      <w:r>
        <w:rPr>
          <w:b/>
          <w:bCs/>
          <w:sz w:val="28"/>
          <w:szCs w:val="28"/>
        </w:rPr>
        <w:t>Требования к документации по ценообразованию на этапе заключения (исполнения) договора</w:t>
      </w:r>
      <w:bookmarkEnd w:id="34"/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закупке).</w:t>
      </w:r>
    </w:p>
    <w:p>
      <w:pPr>
        <w:pStyle w:val="Normal"/>
        <w:rPr>
          <w:i/>
          <w:i/>
          <w:iCs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3027718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4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8493973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10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6856657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9733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19" w:customStyle="1">
    <w:name w:val="Основной текст1"/>
    <w:basedOn w:val="Normal"/>
    <w:qFormat/>
    <w:pPr>
      <w:widowControl w:val="false"/>
      <w:shd w:val="clear" w:color="auto" w:fill="FFFFFF"/>
      <w:spacing w:lineRule="exact" w:line="302"/>
    </w:pPr>
    <w:rPr>
      <w:rFonts w:eastAsia="Calibri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5" w:customStyle="1">
    <w:name w:val="WW8Num5"/>
    <w:qFormat/>
    <w:rsid w:val="0097330f"/>
  </w:style>
  <w:style w:type="numbering" w:styleId="WW8Num2" w:customStyle="1">
    <w:name w:val="WW8Num2"/>
    <w:qFormat/>
    <w:rsid w:val="00a21f9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E3F5-4E6B-4BDB-9D67-80732B6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7330</TotalTime>
  <Application>AlterOffice/3.4.0.9$Linux_X86_64 LibreOffice_project/b8daf9e823b1a5463a2f48435ddc2e8696e7d4fc</Application>
  <AppVersion>15.0000</AppVersion>
  <Pages>11</Pages>
  <Words>2545</Words>
  <Characters>17870</Characters>
  <CharactersWithSpaces>20124</CharactersWithSpaces>
  <Paragraphs>285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2023-10-02T03:41:00Z</dcterms:created>
  <dc:creator>Быстров Олег Геннадьевич</dc:creator>
  <dc:description/>
  <dc:language>ru-RU</dc:language>
  <cp:lastModifiedBy>streletsva@corp.gidroogk.com</cp:lastModifiedBy>
  <cp:lastPrinted>2023-10-06T04:14:00Z</cp:lastPrinted>
  <dcterms:modified xsi:type="dcterms:W3CDTF">2026-06-05T13:38:27Z</dcterms:modified>
  <cp:revision>158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