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Саяно-Шушенского филиала </w:t>
      </w:r>
    </w:p>
    <w:p>
      <w:pPr>
        <w:pStyle w:val="Normal"/>
        <w:spacing w:lineRule="auto" w:line="36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АО «ТК РусГидро»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_________________В.А. Кяри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____________ 2026 год</w:t>
      </w:r>
    </w:p>
    <w:p>
      <w:pPr>
        <w:pStyle w:val="Normal"/>
        <w:spacing w:before="240" w:after="0"/>
        <w:contextualSpacing/>
        <w:jc w:val="right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6"/>
          <w:u w:val="none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u w:val="none"/>
          <w:em w:val="none"/>
        </w:rPr>
        <w:t xml:space="preserve">КПД 2: </w:t>
      </w:r>
      <w:r>
        <w:rPr>
          <w:rStyle w:val="Blk"/>
          <w:rFonts w:eastAsia="Geneva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6"/>
          <w:u w:val="none"/>
          <w:em w:val="none"/>
          <w:lang w:eastAsia="en-US"/>
        </w:rPr>
        <w:t>80.20.10.000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u w:val="none"/>
          <w:em w:val="none"/>
        </w:rPr>
        <w:t xml:space="preserve"> Оказание услуг</w:t>
      </w:r>
      <w:r>
        <w:rPr>
          <w:b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u w:val="none"/>
          <w:em w:val="none"/>
        </w:rPr>
        <w:t xml:space="preserve">по техническому обслуживанию установок пожарной сигнализации и систем пожаротушения для нужд Саяно-Шушенского филиала АО «ТК РусГидро»                                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16384"/>
        </w:sect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/>
              <w:color w:val="auto"/>
            </w:rPr>
          </w:pPr>
          <w:r>
            <w:rPr>
              <w:rFonts w:ascii="Times New Roman" w:hAnsi="Times New Roman"/>
              <w:color w:val="auto"/>
              <w:lang w:val="ru-RU"/>
            </w:rPr>
            <w:t>Оглавление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  <w:rFonts w:eastAsia="Calibri"/>
            </w:rPr>
            <w:fldChar w:fldCharType="separate"/>
          </w:r>
          <w:hyperlink w:anchor="_Toc220066249">
            <w:r>
              <w:rPr>
                <w:webHidden/>
                <w:rStyle w:val="Style12"/>
                <w:rFonts w:eastAsia="Calibri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0">
            <w:r>
              <w:rPr>
                <w:webHidden/>
                <w:rStyle w:val="Style12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1">
            <w:r>
              <w:rPr>
                <w:webHidden/>
                <w:rStyle w:val="Style12"/>
                <w:rFonts w:eastAsia="Calibri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066252">
            <w:r>
              <w:rPr>
                <w:webHidden/>
                <w:rStyle w:val="Style12"/>
                <w:rFonts w:eastAsia="Calibri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3">
            <w:r>
              <w:rPr>
                <w:webHidden/>
                <w:rStyle w:val="Style12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066254">
            <w:r>
              <w:rPr>
                <w:webHidden/>
                <w:rStyle w:val="Style12"/>
                <w:rFonts w:eastAsia="Calibri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5">
            <w:r>
              <w:rPr>
                <w:webHidden/>
                <w:rStyle w:val="Style12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6">
            <w:r>
              <w:rPr>
                <w:webHidden/>
                <w:rStyle w:val="Style12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60">
            <w:r>
              <w:rPr>
                <w:webHidden/>
                <w:rStyle w:val="Style12"/>
                <w:rFonts w:eastAsia="Calibri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61">
            <w:r>
              <w:rPr>
                <w:webHidden/>
                <w:rStyle w:val="Style12"/>
                <w:rFonts w:eastAsia="Calibri"/>
                <w:vanish w:val="false"/>
              </w:rPr>
              <w:t>4 . 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20066249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r>
        <w:rPr/>
        <w:t>Обозначения и сокращения</w:t>
      </w:r>
      <w:bookmarkEnd w:id="1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ОКПД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ТМЦ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КПП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Контрольно-пропускной пункт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highlight w:val="none"/>
                <w:shd w:fill="auto" w:val="clear"/>
              </w:rPr>
            </w:pPr>
            <w:r>
              <w:rPr>
                <w:bCs/>
                <w:iCs/>
                <w:sz w:val="24"/>
                <w:szCs w:val="24"/>
                <w:shd w:fill="auto" w:val="clear"/>
              </w:rPr>
              <w:t>АБК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Административно-бытовой корпус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2" w:name="_Toc46743506"/>
      <w:r>
        <w:rPr/>
        <w:t>Наименование закупаемой продукции</w:t>
      </w:r>
      <w:bookmarkEnd w:id="2"/>
    </w:p>
    <w:p>
      <w:pPr>
        <w:pStyle w:val="Normal"/>
        <w:jc w:val="left"/>
        <w:rPr>
          <w:sz w:val="26"/>
          <w:szCs w:val="26"/>
        </w:rPr>
      </w:pPr>
      <w:r>
        <w:rPr>
          <w:rFonts w:eastAsia="Calibri"/>
          <w:sz w:val="26"/>
          <w:szCs w:val="26"/>
          <w:lang w:eastAsia="x-none"/>
        </w:rPr>
        <w:tab/>
        <w:t>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6"/>
          <w:u w:val="none"/>
          <w:em w:val="none"/>
          <w:lang w:eastAsia="x-none"/>
        </w:rPr>
        <w:t xml:space="preserve">ОКПД 2: </w:t>
      </w:r>
      <w:r>
        <w:rPr>
          <w:rStyle w:val="Blk"/>
          <w:rFonts w:eastAsia="Geneva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6"/>
          <w:u w:val="none"/>
          <w:em w:val="none"/>
          <w:lang w:eastAsia="en-US"/>
        </w:rPr>
        <w:t>80.20.10.000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6"/>
          <w:u w:val="none"/>
          <w:em w:val="none"/>
          <w:lang w:eastAsia="x-none"/>
        </w:rPr>
        <w:t xml:space="preserve"> Оказание услуг</w:t>
      </w:r>
      <w:r>
        <w:rPr>
          <w:rFonts w:eastAsia="Calibri"/>
          <w:b/>
          <w:i w:val="false"/>
          <w:strike w:val="false"/>
          <w:dstrike w:val="false"/>
          <w:outline w:val="false"/>
          <w:shadow w:val="false"/>
          <w:color w:val="auto"/>
          <w:sz w:val="24"/>
          <w:szCs w:val="26"/>
          <w:u w:val="none"/>
          <w:em w:val="none"/>
          <w:lang w:eastAsia="x-none"/>
        </w:rPr>
        <w:t xml:space="preserve">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6"/>
          <w:u w:val="none"/>
          <w:em w:val="none"/>
          <w:lang w:eastAsia="x-none"/>
        </w:rPr>
        <w:t>по техническому обслуживанию установок пожарной сигнализации и систем пожаротушения для нужд Саяно-Шушенского филиала АО «ТК РусГидро»</w:t>
      </w:r>
    </w:p>
    <w:p>
      <w:pPr>
        <w:pStyle w:val="Normal"/>
        <w:jc w:val="both"/>
        <w:rPr>
          <w:rStyle w:val="Style7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3" w:name="_Toc46743507"/>
      <w:r>
        <w:rPr/>
        <w:t xml:space="preserve">Цель </w:t>
      </w:r>
      <w:bookmarkEnd w:id="3"/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rStyle w:val="Style7"/>
          <w:rFonts w:eastAsia="Calibri"/>
          <w:b w:val="false"/>
          <w:i w:val="false"/>
          <w:sz w:val="26"/>
          <w:szCs w:val="26"/>
          <w:shd w:fill="auto" w:val="clear"/>
          <w:lang w:eastAsia="x-none"/>
        </w:rPr>
        <w:t>Обеспечение безопасности персонала объектов, сохранности оборудования и ТМЦ Саяно-Шушенского филиала АО «ТК РусГидро» от возможных пожарных угроз.</w:t>
      </w:r>
    </w:p>
    <w:p>
      <w:pPr>
        <w:pStyle w:val="Normal"/>
        <w:ind w:firstLine="709"/>
        <w:jc w:val="both"/>
        <w:rPr>
          <w:rStyle w:val="Style7"/>
          <w:rFonts w:eastAsia="Calibri"/>
          <w:b w:val="false"/>
          <w:i w:val="false"/>
          <w:i w:val="false"/>
          <w:sz w:val="26"/>
          <w:szCs w:val="26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6"/>
          <w:szCs w:val="26"/>
          <w:shd w:fill="auto" w:val="clear"/>
          <w:lang w:eastAsia="x-none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4" w:name="_Toc22006625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4"/>
    </w:p>
    <w:tbl>
      <w:tblPr>
        <w:tblW w:w="978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03"/>
        <w:gridCol w:w="4297"/>
        <w:gridCol w:w="1981"/>
        <w:gridCol w:w="1409"/>
        <w:gridCol w:w="1290"/>
      </w:tblGrid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384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1.Топливо-заправочная станция №102 литера В32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 АБК – дом 101, литера А7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3.Главный корпус-дом 101  литера В25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4.Стоянка №1 – 3101 литера В24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5. Склады - №101  литера Б4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6. Кузнечный цех - № 101 литера В22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7.КПП - №101 литера А9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8. Диспетчерская - №101 литера А8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9. Теплый склад – литера В3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Республика Хакасия г.Саяногорск р.п.Черёмушки, д. 101.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5" w:name="_Toc51339693"/>
      <w:bookmarkStart w:id="6" w:name="_Toc220066251"/>
      <w:bookmarkStart w:id="7" w:name="_Toc50125126"/>
      <w:bookmarkStart w:id="8" w:name="_Hlk482097611"/>
      <w:bookmarkEnd w:id="7"/>
      <w:bookmarkEnd w:id="8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5"/>
      <w:bookmarkEnd w:id="6"/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9" w:name="_Toc220066252"/>
      <w:r>
        <w:rPr>
          <w:lang w:val="ru-RU"/>
        </w:rPr>
        <w:t>Требования к перечню и объему услуг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220066253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 xml:space="preserve">ОКПД 2: </w:t>
            </w:r>
            <w:r>
              <w:rPr>
                <w:rStyle w:val="Blk"/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80.20.10.000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 xml:space="preserve"> Оказание услуг</w:t>
            </w:r>
            <w:r>
              <w:rPr>
                <w:rFonts w:eastAsia="Calibri"/>
                <w:b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>по техническому обслуживанию установок пожарной сигнализации и систем пожаротушения для нужд Саяно-Шушенского филиала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2" w:name="_Toc220066254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оказания услуг</w:t>
      </w:r>
      <w:bookmarkEnd w:id="12"/>
    </w:p>
    <w:p>
      <w:pPr>
        <w:pStyle w:val="Normal"/>
        <w:rPr/>
      </w:pPr>
      <w:r>
        <w:rPr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220066255"/>
      <w:bookmarkStart w:id="15" w:name="_Toc51339697"/>
      <w:bookmarkStart w:id="16" w:name="_Toc50125127"/>
      <w:bookmarkStart w:id="17" w:name="_Toc50125126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оказания услуг</w:t>
      </w:r>
      <w:bookmarkEnd w:id="14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3005"/>
        <w:gridCol w:w="2982"/>
        <w:gridCol w:w="311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0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 xml:space="preserve">ОКПД 2: </w:t>
            </w:r>
            <w:r>
              <w:rPr>
                <w:rStyle w:val="Blk"/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80.20.10.000</w:t>
            </w: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>Оказание услуг</w:t>
            </w:r>
            <w:r>
              <w:rPr>
                <w:rFonts w:eastAsia="Calibri"/>
                <w:b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  <w:lang w:eastAsia="x-none"/>
              </w:rPr>
              <w:t>по техническому обслуживанию установок пожарной сигнализации и систем пожаротушения для нужд Саяно-Шушенского филиала АО «ТК РусГидро»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момента заключения договора </w:t>
            </w:r>
            <w:r>
              <w:rPr>
                <w:bCs/>
                <w:sz w:val="24"/>
                <w:szCs w:val="24"/>
              </w:rPr>
              <w:t>не ранее 01.01.2027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9" w:name="_Toc46743510"/>
            <w:r>
              <w:rPr>
                <w:bCs/>
                <w:sz w:val="24"/>
                <w:szCs w:val="24"/>
              </w:rPr>
              <w:t>по 31.12.2027г.</w:t>
            </w:r>
            <w:bookmarkEnd w:id="19"/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567" w:top="1021" w:footer="0" w:bottom="567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2" w:name="_Toc22006625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22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(все позиции Таблицы 2): </w:t>
      </w:r>
      <w:r>
        <w:rPr>
          <w:rFonts w:eastAsia="Calibri"/>
          <w:b/>
          <w:bCs/>
          <w:sz w:val="24"/>
          <w:szCs w:val="24"/>
          <w:lang w:eastAsia="x-none"/>
        </w:rPr>
        <w:t>«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x-none"/>
        </w:rPr>
        <w:t xml:space="preserve">ОКПД 2: </w:t>
      </w:r>
      <w:r>
        <w:rPr>
          <w:rStyle w:val="Blk"/>
          <w:rFonts w:eastAsia="Calibri" w:cs="Times New Roman"/>
          <w:b w:val="false"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x-none" w:bidi="ar-SA"/>
        </w:rPr>
        <w:t>80.20.10.000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x-none"/>
        </w:rPr>
        <w:t xml:space="preserve"> Оказание услуг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x-none"/>
        </w:rPr>
        <w:t xml:space="preserve">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x-none"/>
        </w:rPr>
        <w:t>по техническому обслуживанию установок пожарной сигнализации и систем пожаротушения для нужд Саяно-Шушенского филиала АО «ТК РусГидро»</w:t>
      </w: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9"/>
        <w:tblW w:w="149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6"/>
        <w:gridCol w:w="3857"/>
        <w:gridCol w:w="2579"/>
        <w:gridCol w:w="2727"/>
        <w:gridCol w:w="2628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3"/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Проводить инструктаж оперативного эксплуатационного персонала «Заказчика» и оказывать ему помощь в вопросах правильного содержания и технического обслуживания установок.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</w:r>
          </w:p>
        </w:tc>
        <w:tc>
          <w:tcPr>
            <w:tcW w:w="2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24" w:name="_Toc181254704"/>
            <w:bookmarkStart w:id="25" w:name="_Toc22006625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4"/>
            <w:bookmarkEnd w:id="25"/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 xml:space="preserve">  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Обеспечить проведение планового и внепланового технического обслуживания в установленные сроки и в соответствии с типовыми регламентами.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ar-SA"/>
              </w:rPr>
              <w:t>Работы производить персоналом,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ar-SA"/>
              </w:rPr>
              <w:t xml:space="preserve"> аттестованным по правилам техники безопасности.</w:t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Проводить техническое обслуживание с соблюдением требований «Правил технической эксплуатации электроустановок» и «Правил техники безопасности»</w:t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лицензию на осуществление деятельности по монтажу, техническому обслуживанию и ремонту средств обеспечения пожарной безопасности зданий и сооружений  (необходимо предоставить при подписании договора).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26" w:name="_Toc181254705"/>
            <w:bookmarkStart w:id="27" w:name="_Toc22006625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6"/>
            <w:bookmarkEnd w:id="27"/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управленческой компетентностью и ресурсными возможностями (финансовыми, материально-техническими, производственными, трудовыми);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 должен являться неплатежеспособным или банкротом, находится в процессе ликвидации, на имущество Исполнителя в части, существенной для исполнения договора,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</w:tabs>
              <w:suppressAutoHyphens w:val="true"/>
              <w:spacing w:lineRule="auto" w:line="228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28" w:name="_GoBack"/>
            <w:bookmarkEnd w:id="28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Федеральный закон от 22.07.2008 N 123-ФЗ (ред. от 25.12.2023) "Автоматические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документацией, разработанной и утвержденной в установленном порядке. Автоматические установки пожаротушения должны быть обеспечены: (в ред. Федерального закона от 10.07.2012 N 117-ФЗ)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29" w:name="_Toc181254707"/>
            <w:bookmarkStart w:id="30" w:name="_Toc22006625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9"/>
            <w:bookmarkEnd w:id="30"/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Оказываемые услуги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 xml:space="preserve"> должны соответствовать требованиям безопасно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сти, нормативно-технической документации и иных нормативных актов, предусмотренных Российским законодательством в части осуществления данного вида деятельности.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084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16384"/>
        </w:sectPr>
      </w:pP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1" w:name="_Toc220066260"/>
      <w:bookmarkStart w:id="32" w:name="_Toc53395937"/>
      <w:bookmarkStart w:id="33" w:name="_Toc53393312"/>
      <w:r>
        <w:rPr>
          <w:lang w:val="ru-RU"/>
        </w:rPr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  <w:bookmarkEnd w:id="31"/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форме.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bookmarkStart w:id="34" w:name="_Hlk88327292_Копия_1"/>
      <w:r>
        <w:rPr>
          <w:bCs/>
          <w:iCs/>
          <w:sz w:val="24"/>
          <w:szCs w:val="24"/>
        </w:rPr>
        <w:t>3.2. Дополнительные документы по ценообразованию</w:t>
      </w:r>
      <w:bookmarkEnd w:id="34"/>
      <w:r>
        <w:rPr>
          <w:bCs/>
          <w:iCs/>
          <w:sz w:val="24"/>
          <w:szCs w:val="24"/>
        </w:rPr>
        <w:t xml:space="preserve"> в состав заявки не включаются.</w:t>
      </w:r>
    </w:p>
    <w:p>
      <w:pPr>
        <w:pStyle w:val="Heading1"/>
        <w:keepLines/>
        <w:ind w:left="0" w:hanging="0"/>
        <w:jc w:val="center"/>
        <w:rPr/>
      </w:pPr>
      <w:bookmarkStart w:id="35" w:name="__RefHeading___Toc15026_4083542239"/>
      <w:bookmarkStart w:id="36" w:name="_Toc220066261"/>
      <w:bookmarkEnd w:id="35"/>
      <w:r>
        <w:rPr/>
        <w:t>4 . Приложения</w:t>
      </w:r>
      <w:bookmarkEnd w:id="3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№1 - Расчет стоимости </w:t>
      </w:r>
      <w:r>
        <w:rPr>
          <w:bCs/>
          <w:color w:val="000000"/>
          <w:sz w:val="24"/>
          <w:szCs w:val="24"/>
        </w:rPr>
        <w:t xml:space="preserve">услуг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lang w:val="ru-RU" w:eastAsia="ru-RU" w:bidi="ar-SA"/>
        </w:rPr>
        <w:t xml:space="preserve"> по техническому обслуживанию установок пожарной сигнализации и систем пожаротушения для нужд Саяно-Шушенского филиала АО «ТК РусГидро»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Старший  мастер ГЭЗСиТ                                                                           Кшуманев С.А.</w:t>
      </w:r>
    </w:p>
    <w:p>
      <w:pPr>
        <w:pStyle w:val="NoSpacing"/>
        <w:jc w:val="both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37" w:name="_Toc46743519"/>
      <w:bookmarkStart w:id="38" w:name="_Toc51339699"/>
      <w:bookmarkStart w:id="39" w:name="_Toc46743519"/>
      <w:bookmarkStart w:id="40" w:name="_Toc51339699"/>
      <w:bookmarkEnd w:id="39"/>
      <w:bookmarkEnd w:id="40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16384"/>
        </w:sect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r>
        <w:br w:type="page"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Расчет стоимости </w:t>
      </w:r>
      <w:r>
        <w:rPr>
          <w:bCs/>
          <w:color w:val="000000"/>
          <w:sz w:val="26"/>
          <w:szCs w:val="26"/>
        </w:rPr>
        <w:t xml:space="preserve">услуг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lang w:val="ru-RU" w:eastAsia="ru-RU" w:bidi="ar-SA"/>
        </w:rPr>
        <w:t>по техническому обслуживанию установок пожарной сигнализации и систем пожаротушения для нужд Саяно-Шушенского филиала АО «ТК РусГидро»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95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676"/>
        <w:gridCol w:w="1422"/>
        <w:gridCol w:w="1425"/>
        <w:gridCol w:w="2846"/>
        <w:gridCol w:w="2643"/>
      </w:tblGrid>
      <w:tr>
        <w:trPr>
          <w:trHeight w:val="1633" w:hRule="exact"/>
          <w:cantSplit w:val="true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  <w:szCs w:val="24"/>
                <w:lang w:eastAsia="ru-RU"/>
              </w:rPr>
              <w:t>Цена за единицу, руб., НДС не облагается</w:t>
            </w:r>
          </w:p>
        </w:tc>
        <w:tc>
          <w:tcPr>
            <w:tcW w:w="2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  <w:szCs w:val="24"/>
                <w:lang w:eastAsia="ru-RU"/>
              </w:rPr>
              <w:t>Стоимость, в рублях, НДС не облагается</w:t>
            </w:r>
          </w:p>
        </w:tc>
      </w:tr>
      <w:tr>
        <w:trPr>
          <w:trHeight w:val="2968" w:hRule="exact"/>
          <w:cantSplit w:val="true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1.Топливо-заправочная станция №102 литера В32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 АБК – дом 101, литера А7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3.Главный корпус-дом 101  литера В25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4.Стоянка №1 – 3101 литера В24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 Склады - №101  литера Б4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 Кузнечный цех - № 101 литера В22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7.КПП - №101 литера А9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8. Диспетчерская - №101 литера А8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9. Теплый склад – литера В3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месяц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9" w:hRule="exact"/>
          <w:cantSplit w:val="true"/>
        </w:trPr>
        <w:tc>
          <w:tcPr>
            <w:tcW w:w="1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135" w:right="709" w:gutter="0" w:header="68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134" w:right="426" w:gutter="0" w:header="709" w:top="992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/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  <w:rPr/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  <w:rPr/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/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  <w:rPr/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  <w:rPr/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  <w:rPr/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  <w:rPr/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3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basedOn w:val="DefaultParagraphFont"/>
    <w:uiPriority w:val="99"/>
    <w:unhideWhenUsed/>
    <w:rsid w:val="00d71ea8"/>
    <w:rPr>
      <w:color w:val="0563C1" w:themeColor="hyperlink"/>
      <w:u w:val="single"/>
    </w:rPr>
  </w:style>
  <w:style w:type="character" w:styleId="Style14" w:customStyle="1">
    <w:name w:val="Символ сноски"/>
    <w:semiHidden/>
    <w:unhideWhenUsed/>
    <w:qFormat/>
    <w:rsid w:val="008d571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2">
    <w:name w:val="Strong2"/>
    <w:qFormat/>
    <w:rPr>
      <w:b/>
      <w:bCs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Style16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/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</w:rPr>
  </w:style>
  <w:style w:type="paragraph" w:styleId="Style23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/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112" w:customStyle="1">
    <w:name w:val="заголовок 11"/>
    <w:basedOn w:val="Normal"/>
    <w:next w:val="Normal"/>
    <w:qFormat/>
    <w:pPr>
      <w:keepNext w:val="true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2037998941" w:customStyle="1">
    <w:name w:val="32037998941"/>
    <w:qFormat/>
  </w:style>
  <w:style w:type="numbering" w:styleId="41355696861" w:customStyle="1">
    <w:name w:val="41355696861"/>
    <w:qFormat/>
  </w:style>
  <w:style w:type="numbering" w:styleId="WW8Num27" w:customStyle="1">
    <w:name w:val="WW8Num27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9857-9E95-407C-B4F6-12070EBF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Application>AlterOffice/3.4.0.9$Linux_X86_64 LibreOffice_project/b8daf9e823b1a5463a2f48435ddc2e8696e7d4fc</Application>
  <AppVersion>15.0000</AppVersion>
  <Pages>11</Pages>
  <Words>994</Words>
  <Characters>6511</Characters>
  <CharactersWithSpaces>7455</CharactersWithSpaces>
  <Paragraphs>216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2024-10-31T06:51:00Z</dcterms:created>
  <dc:creator>Быстров Олег Геннадьевич</dc:creator>
  <dc:description/>
  <dc:language>ru-RU</dc:language>
  <cp:lastModifiedBy>taskinaea@corp.gidroogk.com</cp:lastModifiedBy>
  <cp:lastPrinted>2025-02-24T09:49:00Z</cp:lastPrinted>
  <dcterms:modified xsi:type="dcterms:W3CDTF">2026-06-08T08:49:26Z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