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7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12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left="0" w:right="-1" w:hanging="0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ind w:left="426" w:right="-1" w:hanging="0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>
      <w:pPr>
        <w:pStyle w:val="Normal"/>
        <w:ind w:left="426" w:right="-1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Саяно-Шушенского филиала </w:t>
      </w:r>
    </w:p>
    <w:p>
      <w:pPr>
        <w:pStyle w:val="Normal"/>
        <w:ind w:left="426" w:right="-1" w:hanging="0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ind w:left="426" w:right="-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right="-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right="-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right="-1"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 Кяри В.А.</w:t>
      </w:r>
    </w:p>
    <w:p>
      <w:pPr>
        <w:pStyle w:val="Normal"/>
        <w:ind w:left="426" w:right="-1" w:hanging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«______» ____________ 2027 г</w:t>
      </w:r>
    </w:p>
    <w:p>
      <w:pPr>
        <w:pStyle w:val="Heading1"/>
        <w:numPr>
          <w:ilvl w:val="0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bidi w:val="0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4"/>
          <w:u w:val="none"/>
          <w:em w:val="none"/>
        </w:rPr>
        <w:t>«О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u w:val="none"/>
          <w:em w:val="none"/>
        </w:rPr>
        <w:t xml:space="preserve">КПД 2: 84.25.11.19 Услуги на аварийно-спасательное обслуживание опасного производственного объекта для нужд Саяно-Шушенского филиала АО «ТК РусГидро»»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u w:val="none"/>
          <w:em w:val="none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eastAsia="Calibri"/>
          <w:b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8192"/>
        </w:sect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u w:val="none"/>
          <w:em w:val="none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                                   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00" w:val="clear"/>
          <w:em w:val="none"/>
        </w:rPr>
        <w:t xml:space="preserve"> 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  <w:rFonts w:eastAsia="Calibri"/>
            </w:rPr>
            <w:fldChar w:fldCharType="separate"/>
          </w:r>
          <w:hyperlink w:anchor="_Toc181254691">
            <w:r>
              <w:rPr>
                <w:webHidden/>
                <w:rStyle w:val="Style12"/>
                <w:rFonts w:eastAsia="Calibri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Общие сведения………………………………………………………………………………...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692">
            <w:r>
              <w:rPr>
                <w:webHidden/>
                <w:rStyle w:val="Style12"/>
                <w:rFonts w:eastAsia="Calibri"/>
                <w:iCs/>
                <w:vanish w:val="false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Обозначения и сокращения…………………………………………………………………………………..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693">
            <w:r>
              <w:rPr>
                <w:webHidden/>
                <w:rStyle w:val="Style12"/>
                <w:rFonts w:eastAsia="Calibri"/>
                <w:iCs/>
                <w:vanish w:val="false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Наименование закупаемой продукции……………………………………………………………………...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694">
            <w:r>
              <w:rPr>
                <w:webHidden/>
                <w:rStyle w:val="Style12"/>
                <w:rFonts w:eastAsia="Calibri"/>
                <w:iCs/>
                <w:vanish w:val="false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Цель оказания услуг………………………………………………………………………………………….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695">
            <w:r>
              <w:rPr>
                <w:webHidden/>
                <w:rStyle w:val="Style12"/>
                <w:rFonts w:eastAsia="Calibri"/>
                <w:vanish w:val="false"/>
              </w:rPr>
              <w:t>Таблица 1. Перечень объектов заказчика………………………………………………………...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696">
            <w:r>
              <w:rPr>
                <w:webHidden/>
                <w:rStyle w:val="Style12"/>
                <w:rFonts w:eastAsia="Calibri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  <w:iCs/>
              </w:rPr>
              <w:t>Требования к продукции……………………………………………………………………...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697">
            <w:r>
              <w:rPr>
                <w:webHidden/>
                <w:rStyle w:val="Style12"/>
                <w:rFonts w:eastAsia="Calibri"/>
                <w:iCs/>
                <w:vanish w:val="false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объемам и срокам оказания услуг…………………………………………………………..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_Toc181254697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/>
            <w:t>2.1.1.</w:t>
            <w:tab/>
            <w:t>Требования к перечню и объему услуг……………………………………………………………………..4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699">
            <w:r>
              <w:rPr>
                <w:webHidden/>
                <w:rStyle w:val="Style12"/>
                <w:rFonts w:eastAsia="Calibri"/>
                <w:vanish w:val="false"/>
              </w:rPr>
              <w:t>Таблица 2. Перечень и объем оказываемых услуг………………………………………………</w:t>
            </w:r>
          </w:hyperlink>
          <w:r>
            <w:rPr>
              <w:rFonts w:eastAsia="Calibri"/>
              <w:vanish w:val="false"/>
            </w:rPr>
            <w:t>4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700">
            <w:r>
              <w:rPr>
                <w:webHidden/>
                <w:rStyle w:val="Style12"/>
                <w:rFonts w:eastAsia="Calibri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срокам оказания услуг……………………………………………………………………….</w:t>
            </w:r>
          </w:hyperlink>
          <w:r>
            <w:rPr>
              <w:rFonts w:eastAsia="Calibri"/>
              <w:vanish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701">
            <w:r>
              <w:rPr>
                <w:webHidden/>
                <w:rStyle w:val="Style12"/>
                <w:rFonts w:eastAsia="Calibri"/>
                <w:vanish w:val="false"/>
              </w:rPr>
              <w:t>Таблица 3. Требования к срокам оказания услуг………………………………………………..</w:t>
            </w:r>
          </w:hyperlink>
          <w:r>
            <w:rPr>
              <w:rFonts w:eastAsia="Calibri"/>
              <w:vanish w:val="false"/>
            </w:rPr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1254702">
            <w:r>
              <w:rPr>
                <w:webHidden/>
                <w:rStyle w:val="Style12"/>
                <w:rFonts w:eastAsia="Calibri"/>
                <w:iCs/>
                <w:vanish w:val="false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качеству услуг………………………………………………………………………………...</w:t>
            </w:r>
          </w:hyperlink>
          <w:r>
            <w:rPr>
              <w:rFonts w:eastAsia="Calibri"/>
              <w:vanish w:val="false"/>
            </w:rPr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703">
            <w:r>
              <w:rPr>
                <w:webHidden/>
                <w:rStyle w:val="Style12"/>
                <w:rFonts w:eastAsia="Calibri"/>
                <w:vanish w:val="false"/>
              </w:rPr>
              <w:t>Таблица 4. Требования к качеству услуг………………………………………………………….</w:t>
            </w:r>
          </w:hyperlink>
          <w:r>
            <w:rPr>
              <w:rFonts w:eastAsia="Calibri"/>
              <w:vanish w:val="false"/>
            </w:rPr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1254708">
            <w:r>
              <w:rPr>
                <w:webHidden/>
                <w:rStyle w:val="Style12"/>
                <w:rFonts w:eastAsia="Calibri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документации по ценообразованию на этапе закупки………………….</w:t>
            </w:r>
          </w:hyperlink>
          <w:r>
            <w:rPr>
              <w:rFonts w:eastAsia="Calibri"/>
            </w:rPr>
            <w:t>..</w:t>
          </w:r>
          <w:r>
            <w:rPr>
              <w:rFonts w:eastAsia="Calibri"/>
              <w:vanish w:val="false"/>
            </w:rPr>
            <w:t>9</w:t>
          </w:r>
          <w:r>
            <w:rPr>
              <w:vanish w:val="false"/>
              <w:rFonts w:eastAsia="Calibri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81254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81254692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ОКПД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lang w:val="ru-RU" w:eastAsia="ru-RU" w:bidi="ar-SA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113" w:right="0" w:hanging="0"/>
        <w:jc w:val="left"/>
        <w:rPr/>
      </w:pPr>
      <w:r>
        <w:rPr/>
        <w:t xml:space="preserve">1.2 </w:t>
      </w:r>
      <w:bookmarkStart w:id="3" w:name="_Toc181254693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x-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КПД 2 84.25.19 Поддержание в постоянной готовности сил и средств к реагированию на чрезвычайные ситуации на опасных производственных объектах, выполнение аварийно-спасательных и других неотложных работ по ликвидации (локализации) аварийных и чрезвычайных ситуаций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x-none"/>
        </w:rPr>
        <w:t>для нужд Саяно-Шушенского филиала АО «ТК 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x-none"/>
        </w:rPr>
        <w:t xml:space="preserve"> </w:t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0" w:after="60"/>
        <w:ind w:left="57" w:right="0" w:hanging="0"/>
        <w:jc w:val="left"/>
        <w:rPr/>
      </w:pPr>
      <w:r>
        <w:rPr/>
        <w:t xml:space="preserve">1.3 </w:t>
      </w:r>
      <w:bookmarkStart w:id="5" w:name="_Toc181254694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/>
      </w:pPr>
      <w:r>
        <w:rPr>
          <w:rStyle w:val="Style7"/>
          <w:rFonts w:eastAsia="Calibri"/>
          <w:b w:val="false"/>
          <w:i w:val="false"/>
          <w:strike w:val="false"/>
          <w:dstrike w:val="false"/>
          <w:outline w:val="false"/>
          <w:shadow w:val="false"/>
          <w:spacing w:val="-10"/>
          <w:sz w:val="24"/>
          <w:szCs w:val="24"/>
          <w:u w:val="none"/>
          <w:shd w:fill="auto" w:val="clear"/>
          <w:em w:val="none"/>
          <w:lang w:eastAsia="x-none"/>
        </w:rPr>
        <w:t>Оказание услуг на аварийно-спасательное обслуживание опасного производственного объекта Саяно-Шушенского филиала АО «ТК РусГидро» по локализации розлива топлива на АЗС осуществляющей хранение и использование нефтепродуктов.</w:t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rStyle w:val="Style7"/>
          <w:rFonts w:eastAsia="Calibri"/>
          <w:b w:val="false"/>
          <w:i w:val="false"/>
          <w:i w:val="false"/>
          <w:strike w:val="false"/>
          <w:dstrike w:val="false"/>
          <w:outline w:val="false"/>
          <w:shadow w:val="false"/>
          <w:spacing w:val="-10"/>
          <w:sz w:val="24"/>
          <w:szCs w:val="24"/>
          <w:u w:val="none"/>
          <w:shd w:fill="auto" w:val="clear"/>
          <w:em w:val="none"/>
          <w:lang w:eastAsia="x-none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pacing w:val="-10"/>
          <w:sz w:val="24"/>
          <w:szCs w:val="24"/>
          <w:u w:val="none"/>
          <w:shd w:fill="auto" w:val="clear"/>
          <w:em w:val="none"/>
          <w:lang w:eastAsia="x-none"/>
        </w:rPr>
      </w:r>
    </w:p>
    <w:p>
      <w:pPr>
        <w:pStyle w:val="Normal"/>
        <w:jc w:val="both"/>
        <w:rPr>
          <w:spacing w:val="-10"/>
          <w:sz w:val="24"/>
          <w:szCs w:val="22"/>
          <w:shd w:fill="auto" w:val="clear"/>
          <w:lang w:eastAsia="en-US"/>
        </w:rPr>
      </w:pPr>
      <w:r>
        <w:rPr>
          <w:rFonts w:eastAsia="Calibri"/>
          <w:b/>
          <w:bCs/>
          <w:spacing w:val="-2"/>
          <w:sz w:val="24"/>
          <w:szCs w:val="24"/>
          <w:lang w:eastAsia="en-US"/>
        </w:rPr>
        <w:t>1.4. Существующее положение.</w:t>
      </w:r>
    </w:p>
    <w:p>
      <w:pPr>
        <w:pStyle w:val="Normal"/>
        <w:jc w:val="both"/>
        <w:rPr>
          <w:spacing w:val="-10"/>
          <w:sz w:val="24"/>
          <w:szCs w:val="22"/>
          <w:shd w:fill="auto" w:val="clear"/>
          <w:lang w:eastAsia="en-US"/>
        </w:rPr>
      </w:pPr>
      <w:r>
        <w:rPr>
          <w:rFonts w:eastAsia="Calibri"/>
          <w:b/>
          <w:bCs/>
          <w:spacing w:val="-10"/>
          <w:sz w:val="24"/>
          <w:szCs w:val="24"/>
          <w:lang w:val="ru-RU" w:eastAsia="en-US"/>
        </w:rPr>
        <w:t>Таблица 1. Перечень объектов заказчика</w:t>
      </w:r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49"/>
        <w:gridCol w:w="2269"/>
        <w:gridCol w:w="2565"/>
        <w:gridCol w:w="1276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Краткая характеристика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64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9" w:hanging="0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8"/>
                <w:u w:val="none"/>
                <w:em w:val="none"/>
                <w:lang w:eastAsia="x-none"/>
              </w:rPr>
              <w:t>Топливо-заправочный пункт (автомобильная заправочная станция)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9" w:hanging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Республика Хакасия,  г. Саяногорск, рабочий поселок Черёмушки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</w:tabs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Состав Объекта: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6" w:leader="none"/>
              </w:tabs>
              <w:ind w:left="178" w:hanging="178"/>
              <w:rPr/>
            </w:pPr>
            <w:r>
              <w:rPr>
                <w:sz w:val="20"/>
                <w:szCs w:val="20"/>
              </w:rPr>
              <w:t>1. Резервуары стальные вертикальные (6 шт.):</w:t>
            </w:r>
          </w:p>
          <w:p>
            <w:pPr>
              <w:pStyle w:val="Normal"/>
              <w:widowControl w:val="false"/>
              <w:ind w:left="32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РВС V-50м3 = 1 шт. </w:t>
            </w:r>
            <w:r>
              <w:rPr>
                <w:sz w:val="20"/>
                <w:szCs w:val="20"/>
                <w:shd w:fill="auto" w:val="clear"/>
              </w:rPr>
              <w:t>(бензин АИ-92)</w:t>
            </w:r>
          </w:p>
          <w:p>
            <w:pPr>
              <w:pStyle w:val="Normal"/>
              <w:widowControl w:val="false"/>
              <w:ind w:left="320" w:hanging="142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 РВС V-50м3 = 1 шт. (диз.топливо)</w:t>
            </w:r>
          </w:p>
          <w:p>
            <w:pPr>
              <w:pStyle w:val="Normal"/>
              <w:widowControl w:val="false"/>
              <w:ind w:left="320" w:hanging="142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 РВС V-50м3= 1 шт. (бензин АИ-92);</w:t>
            </w:r>
          </w:p>
          <w:p>
            <w:pPr>
              <w:pStyle w:val="Normal"/>
              <w:widowControl w:val="false"/>
              <w:ind w:left="320" w:hanging="142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 РВС V-35м3 = 1 шт. (резерв);</w:t>
            </w:r>
          </w:p>
          <w:p>
            <w:pPr>
              <w:pStyle w:val="Normal"/>
              <w:widowControl w:val="false"/>
              <w:ind w:left="320" w:hanging="142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 РВС V-30м3 = 1 шт. (диз.топливо);</w:t>
            </w:r>
          </w:p>
          <w:p>
            <w:pPr>
              <w:pStyle w:val="Normal"/>
              <w:widowControl w:val="false"/>
              <w:ind w:left="320" w:hanging="142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- РВС- V-16м3 = 1 шт. (бензин АИ-9</w:t>
            </w:r>
            <w:r>
              <w:rPr>
                <w:sz w:val="20"/>
                <w:szCs w:val="20"/>
                <w:shd w:fill="auto" w:val="clear"/>
              </w:rPr>
              <w:t>5</w:t>
            </w:r>
            <w:r>
              <w:rPr>
                <w:sz w:val="20"/>
                <w:szCs w:val="20"/>
                <w:shd w:fill="auto" w:val="clear"/>
              </w:rPr>
              <w:t>).</w:t>
            </w:r>
          </w:p>
          <w:p>
            <w:pPr>
              <w:pStyle w:val="Normal"/>
              <w:widowControl w:val="false"/>
              <w:ind w:left="320" w:hanging="320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2. Топливо-раздаточные колонки (</w:t>
            </w:r>
            <w:r>
              <w:rPr>
                <w:sz w:val="20"/>
                <w:szCs w:val="20"/>
                <w:shd w:fill="auto" w:val="clear"/>
              </w:rPr>
              <w:t>6</w:t>
            </w:r>
            <w:r>
              <w:rPr>
                <w:sz w:val="20"/>
                <w:szCs w:val="20"/>
                <w:shd w:fill="auto" w:val="clear"/>
              </w:rPr>
              <w:t xml:space="preserve"> шт.):</w:t>
            </w:r>
          </w:p>
          <w:p>
            <w:pPr>
              <w:pStyle w:val="Normal"/>
              <w:widowControl w:val="false"/>
              <w:ind w:left="320" w:hanging="142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 xml:space="preserve">- ТРК (бензин АИ-92) – </w:t>
            </w:r>
            <w:r>
              <w:rPr>
                <w:sz w:val="20"/>
                <w:szCs w:val="20"/>
                <w:shd w:fill="auto" w:val="clear"/>
              </w:rPr>
              <w:t>2</w:t>
            </w:r>
            <w:r>
              <w:rPr>
                <w:sz w:val="20"/>
                <w:szCs w:val="20"/>
                <w:shd w:fill="auto" w:val="clear"/>
              </w:rPr>
              <w:t xml:space="preserve"> шт.;</w:t>
            </w:r>
          </w:p>
          <w:p>
            <w:pPr>
              <w:pStyle w:val="Normal"/>
              <w:widowControl w:val="false"/>
              <w:ind w:left="32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- ТРК (бензин АИ-95) 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шт.;</w:t>
            </w:r>
          </w:p>
          <w:p>
            <w:pPr>
              <w:pStyle w:val="Normal"/>
              <w:widowControl w:val="false"/>
              <w:ind w:left="32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ТРК (дизельное топливо) –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шт.</w:t>
            </w:r>
          </w:p>
          <w:p>
            <w:pPr>
              <w:pStyle w:val="Normal"/>
              <w:widowControl w:val="false"/>
              <w:ind w:left="33" w:hanging="0"/>
              <w:rPr/>
            </w:pPr>
            <w:r>
              <w:rPr>
                <w:iCs/>
                <w:sz w:val="20"/>
                <w:szCs w:val="20"/>
                <w:lang w:val="en-US"/>
              </w:rPr>
              <w:t>Опасное вещество: бензин АИ-92, АИ-95, дизельное топливо всего объемом = 23</w:t>
            </w:r>
            <w:r>
              <w:rPr>
                <w:iCs/>
                <w:sz w:val="20"/>
                <w:szCs w:val="20"/>
                <w:lang w:val="en-US"/>
              </w:rPr>
              <w:t>1</w:t>
            </w:r>
            <w:r>
              <w:rPr>
                <w:iCs/>
                <w:sz w:val="20"/>
                <w:szCs w:val="20"/>
                <w:lang w:val="en-US"/>
              </w:rPr>
              <w:t>м3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181254696"/>
      <w:bookmarkStart w:id="8" w:name="_Toc51339693"/>
      <w:bookmarkStart w:id="9" w:name="_Toc50125126"/>
      <w:bookmarkStart w:id="10" w:name="_Hlk482097611"/>
      <w:bookmarkEnd w:id="9"/>
      <w:bookmarkEnd w:id="10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7"/>
      <w:bookmarkEnd w:id="8"/>
    </w:p>
    <w:p>
      <w:pPr>
        <w:pStyle w:val="Heading4"/>
        <w:numPr>
          <w:ilvl w:val="1"/>
          <w:numId w:val="3"/>
        </w:numPr>
        <w:rPr/>
      </w:pPr>
      <w:bookmarkStart w:id="11" w:name="_Toc1812546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>
      <w:pPr>
        <w:pStyle w:val="Heading3"/>
        <w:numPr>
          <w:ilvl w:val="2"/>
          <w:numId w:val="3"/>
        </w:numPr>
        <w:rPr/>
      </w:pPr>
      <w:bookmarkStart w:id="12" w:name="_Toc181254698"/>
      <w:r>
        <w:rPr>
          <w:lang w:val="ru-RU"/>
        </w:rPr>
        <w:t>Требования к перечню и объему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181254699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оказываемых услуг</w:t>
      </w:r>
      <w:bookmarkEnd w:id="13"/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8"/>
              <w:rPr>
                <w:b/>
                <w:bCs/>
              </w:rPr>
            </w:pPr>
            <w:r>
              <w:rPr>
                <w:rFonts w:eastAsia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pacing w:val="-10"/>
                <w:sz w:val="24"/>
                <w:szCs w:val="24"/>
                <w:u w:val="none"/>
                <w:em w:val="none"/>
                <w:lang w:eastAsia="x-none"/>
              </w:rPr>
              <w:t>Услуга на аварийно-спасательное обслуживание опасного производственного объекта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181254700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оказания услуг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181254701"/>
      <w:bookmarkStart w:id="18" w:name="_Toc51339697"/>
      <w:bookmarkStart w:id="19" w:name="_Toc50125127"/>
      <w:bookmarkStart w:id="20" w:name="_Toc501251261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оказания услуг</w:t>
      </w:r>
      <w:bookmarkEnd w:id="17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3005"/>
        <w:gridCol w:w="2981"/>
        <w:gridCol w:w="3114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80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8"/>
              <w:rPr>
                <w:b/>
                <w:bCs/>
              </w:rPr>
            </w:pPr>
            <w:r>
              <w:rPr>
                <w:rFonts w:eastAsia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pacing w:val="-10"/>
                <w:sz w:val="24"/>
                <w:szCs w:val="24"/>
                <w:u w:val="none"/>
                <w:em w:val="none"/>
                <w:lang w:eastAsia="x-none"/>
              </w:rPr>
              <w:t xml:space="preserve">Услуга  на аварийно-спасательное обслуживание опасного производственного объекта  </w:t>
            </w:r>
            <w:r>
              <w:rPr>
                <w:rFonts w:eastAsia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8"/>
                <w:u w:val="none"/>
                <w:em w:val="none"/>
                <w:lang w:eastAsia="x-none"/>
              </w:rPr>
              <w:t>для нужд Саяно-Шушенского филиала АО «ТК РусГидро».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даты заключения договора. </w:t>
            </w:r>
            <w:r>
              <w:rPr>
                <w:bCs/>
                <w:sz w:val="24"/>
                <w:szCs w:val="24"/>
              </w:rPr>
              <w:t>Не ранее 01.01.2027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2" w:name="_Toc46743510"/>
            <w:r>
              <w:rPr>
                <w:bCs/>
                <w:sz w:val="24"/>
                <w:szCs w:val="24"/>
              </w:rPr>
              <w:t>по 31.12.202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г.</w:t>
            </w:r>
            <w:bookmarkEnd w:id="22"/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567" w:top="1021" w:footer="0" w:bottom="567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Heading4"/>
        <w:numPr>
          <w:ilvl w:val="1"/>
          <w:numId w:val="3"/>
        </w:numPr>
        <w:rPr/>
      </w:pPr>
      <w:bookmarkStart w:id="23" w:name="_Toc51339698"/>
      <w:bookmarkStart w:id="24" w:name="_Toc181254702"/>
      <w:bookmarkStart w:id="25" w:name="_Toc46743511"/>
      <w:r>
        <w:rPr/>
        <w:t xml:space="preserve">Требования к </w:t>
      </w:r>
      <w:bookmarkEnd w:id="25"/>
      <w:r>
        <w:rPr>
          <w:lang w:val="ru-RU"/>
        </w:rPr>
        <w:t>качеству услуг</w:t>
      </w:r>
      <w:bookmarkEnd w:id="2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6" w:name="_Toc18125470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>качеству услуг</w:t>
      </w:r>
      <w:bookmarkEnd w:id="26"/>
      <w:r>
        <w:rPr>
          <w:sz w:val="24"/>
          <w:szCs w:val="24"/>
        </w:rPr>
        <w:t xml:space="preserve"> </w:t>
      </w:r>
    </w:p>
    <w:p>
      <w:pPr>
        <w:pStyle w:val="Normal"/>
        <w:rPr>
          <w:bCs/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(все позиции Таблицы 2): 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pacing w:val="-10"/>
          <w:sz w:val="24"/>
          <w:szCs w:val="24"/>
          <w:u w:val="none"/>
          <w:em w:val="none"/>
          <w:lang w:eastAsia="x-none"/>
        </w:rPr>
        <w:t xml:space="preserve">Услуга  на аварийно-спасательное обслуживание опасного производственного объекта  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8"/>
          <w:u w:val="none"/>
          <w:em w:val="none"/>
          <w:lang w:eastAsia="x-none"/>
        </w:rPr>
        <w:t>для нужд Саяно-Шушенского филиала АО «ТК РусГидро».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rStyle w:val="Style7"/>
          <w:b w:val="false"/>
          <w:iCs/>
          <w:sz w:val="24"/>
          <w:szCs w:val="24"/>
        </w:rPr>
        <w:t xml:space="preserve"> </w:t>
      </w:r>
    </w:p>
    <w:tbl>
      <w:tblPr>
        <w:tblStyle w:val="affff8"/>
        <w:tblW w:w="149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3"/>
        <w:gridCol w:w="3654"/>
        <w:gridCol w:w="389"/>
        <w:gridCol w:w="5624"/>
        <w:gridCol w:w="2725"/>
        <w:gridCol w:w="1584"/>
      </w:tblGrid>
      <w:tr>
        <w:trPr/>
        <w:tc>
          <w:tcPr>
            <w:tcW w:w="9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04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6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04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7"/>
          </w:p>
        </w:tc>
        <w:tc>
          <w:tcPr>
            <w:tcW w:w="40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66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7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66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7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4043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360" w:right="0" w:hanging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pacing w:val="-1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pacing w:val="-10"/>
                <w:kern w:val="0"/>
                <w:sz w:val="22"/>
                <w:szCs w:val="22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Normal"/>
              <w:widowControl w:val="false"/>
              <w:snapToGrid w:val="false"/>
              <w:ind w:left="360" w:right="0" w:hanging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pacing w:val="-1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pacing w:val="-10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ind w:left="360" w:right="0" w:hanging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pacing w:val="-1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pacing w:val="-1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24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Федеральный закон от 21.07.1997 № 116-ФЗ «О промышленной безопасности опасных производственных объектов;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Федеральный закон от 22.08.1995 №151-ФЗ «Об аварийно-спасательных службах и статусе спасателей»;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10.01.2002г. №7-ФЗ «Об охране окружающей среды»;</w:t>
            </w:r>
          </w:p>
        </w:tc>
        <w:tc>
          <w:tcPr>
            <w:tcW w:w="27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4043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eastAsia="ru-RU"/>
              </w:rPr>
              <w:t>Наличие разрешающих документов для осуществления деятельности аварийно-спасательных служб, аварийно-спасательных формирований на территории РФ</w:t>
            </w:r>
          </w:p>
        </w:tc>
        <w:tc>
          <w:tcPr>
            <w:tcW w:w="5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8"/>
              <w:rPr>
                <w:b/>
              </w:rPr>
            </w:pPr>
            <w:r>
              <w:rPr>
                <w:rFonts w:eastAsia="Times New Roman"/>
                <w:b w:val="false"/>
                <w:bCs/>
                <w:iCs/>
                <w:color w:val="000000"/>
                <w:spacing w:val="-10"/>
                <w:sz w:val="24"/>
                <w:szCs w:val="24"/>
                <w:lang w:val="ru-RU" w:eastAsia="ru-RU"/>
              </w:rPr>
              <w:t>Исполнитель должен быть аттестован в соответствии с требованиями ст. 12 Федерального закона от 22.08.1995 № 151-ФЗ «Об аварийно-спасательных службах и статусе спасателей»; Наличие у Исполнителя Свидетельства на право ведения аварийно-спасательных и других неотложных работ в чрезвычайных ситуациях;</w:t>
            </w:r>
          </w:p>
        </w:tc>
        <w:tc>
          <w:tcPr>
            <w:tcW w:w="27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>
              <w:top w:val="nil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4043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Требования к техническому обеспечению</w:t>
            </w:r>
          </w:p>
        </w:tc>
        <w:tc>
          <w:tcPr>
            <w:tcW w:w="5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Наличие у Исполнителя услуг необходимых инструментов, приспособлений и механизмов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предназначенных для решения задач по предупреждению и ликвидации чрезвычайных ситуаций</w:t>
            </w:r>
          </w:p>
        </w:tc>
        <w:tc>
          <w:tcPr>
            <w:tcW w:w="27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>
              <w:top w:val="nil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4043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jc w:val="left"/>
              <w:outlineLvl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Квалификационные требования к участнику закупки</w:t>
            </w:r>
          </w:p>
        </w:tc>
        <w:tc>
          <w:tcPr>
            <w:tcW w:w="5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8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pacing w:val="-10"/>
                <w:kern w:val="0"/>
                <w:sz w:val="22"/>
                <w:szCs w:val="22"/>
                <w:lang w:val="ru-RU" w:eastAsia="ru-RU" w:bidi="ar-SA"/>
              </w:rPr>
              <w:t>Наличие персонала, прошедшего обучение по выполнению спасательных работ, оказанию первой медицинской помощи, ликвидации разливов нефтепродуктов, поиску и спасению пострадавших;</w:t>
            </w:r>
          </w:p>
        </w:tc>
        <w:tc>
          <w:tcPr>
            <w:tcW w:w="27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Справка о кадровых ресурсах, приведенная в Документации о закупке.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66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Требования к способам оказания услуг</w:t>
            </w:r>
          </w:p>
        </w:tc>
        <w:tc>
          <w:tcPr>
            <w:tcW w:w="27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667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40"/>
              <w:ind w:left="0" w:hanging="0"/>
              <w:jc w:val="both"/>
              <w:outlineLvl w:val="8"/>
              <w:rPr>
                <w:b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Поддержание сил и специальных технических средств в состоянии постоянной готовности к выдвижению и проведению работ по ликвидации (локализации) аварийных и чрезвычайных ситуаций, (в том числе связанных с разливом нефтепродуктов) на АЗС Саяно-Шушенского филиала АО «ТК РусГидро» находящейся по адресу: Российская федерация, Республика Хакасия, г. Саяногорск, пгт. Черемушки, д. 101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667" w:type="dxa"/>
            <w:gridSpan w:val="3"/>
            <w:tcBorders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7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8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667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40"/>
              <w:ind w:left="0" w:hanging="0"/>
              <w:jc w:val="both"/>
              <w:outlineLvl w:val="8"/>
              <w:rPr>
                <w:b/>
              </w:rPr>
            </w:pPr>
            <w:r>
              <w:rPr>
                <w:bCs/>
                <w:iCs/>
                <w:color w:val="000000"/>
                <w:spacing w:val="-10"/>
                <w:sz w:val="24"/>
                <w:szCs w:val="24"/>
              </w:rPr>
              <w:t>Обеспечение немедленного реагирования сил и средств для локализации разлива (локализация разлива не должно превышать 4 (четырех) часов при разливе на акватории, 6 часов – при разливе на почве с момента обнаружения разлива или получения от заказчика (или любого другого источника) информации об аварийной и (или) чрезвычайной ситуации (ЧС) на объекте - АЗС Саяно-Шушенского филиала АО «ТК РусГидро» находящейся по адресу: Российская федерация, Республика Хакасия, г. Саяногорск, пгт. Черемушки, д. 101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Справка о кадровых ресурсах, приведенная в Документации о закупке.</w:t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66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услуг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2.1</w:t>
            </w:r>
          </w:p>
        </w:tc>
        <w:tc>
          <w:tcPr>
            <w:tcW w:w="966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Общие требования к результатам услуг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9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667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8"/>
              <w:rPr>
                <w:b/>
              </w:rPr>
            </w:pPr>
            <w:r>
              <w:rPr>
                <w:b w:val="false"/>
                <w:bCs/>
                <w:color w:val="000000"/>
                <w:spacing w:val="-10"/>
                <w:sz w:val="24"/>
                <w:szCs w:val="24"/>
              </w:rPr>
              <w:t>Проведение поисково-спасательных, газоспасательных, а также аварийно-спасательных работ, связанных с тушением пожаров, работой по ликвидации медико-санитарных последствий чрезвычайных ситуаций, локализацией и ликвидацией розливов нефти и нефтепродуктов.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bookmarkStart w:id="28" w:name="_Toc18125470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8"/>
          </w:p>
        </w:tc>
      </w:tr>
      <w:tr>
        <w:trPr>
          <w:trHeight w:val="337" w:hRule="atLeast"/>
        </w:trPr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8"/>
              <w:rPr>
                <w:b/>
              </w:rPr>
            </w:pPr>
            <w:r>
              <w:rPr>
                <w:iCs/>
                <w:spacing w:val="-10"/>
                <w:sz w:val="24"/>
                <w:szCs w:val="24"/>
              </w:rPr>
              <w:t>Эвакуация пострадавших и материальных ценностей из зоны ЧС.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0" w:hanging="57"/>
              <w:jc w:val="left"/>
              <w:outlineLvl w:val="8"/>
              <w:rPr>
                <w:rFonts w:ascii="Times New Roman" w:hAnsi="Times New Roman" w:eastAsia="Times New Roman" w:cs="Times New Roman"/>
                <w:iCs/>
                <w:color w:val="auto"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spacing w:val="-10"/>
                <w:kern w:val="0"/>
                <w:sz w:val="24"/>
                <w:szCs w:val="24"/>
                <w:lang w:val="ru-RU" w:eastAsia="ru-RU" w:bidi="ar-SA"/>
              </w:rPr>
              <w:t>Оказание методической помощи в проведении заблаговременных мероприятий.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2.2</w:t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8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2.2.1</w:t>
            </w:r>
          </w:p>
        </w:tc>
        <w:tc>
          <w:tcPr>
            <w:tcW w:w="365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8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601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8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Исполнитель составляет Акты приемки-сдачи выполненных работ после оказания услуг.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0" w:right="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x-none"/>
              </w:rPr>
              <w:t>2.3</w:t>
            </w:r>
          </w:p>
        </w:tc>
        <w:tc>
          <w:tcPr>
            <w:tcW w:w="966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737" w:right="0" w:hanging="85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  <w:t>2.3.1</w:t>
            </w:r>
          </w:p>
        </w:tc>
        <w:tc>
          <w:tcPr>
            <w:tcW w:w="9667" w:type="dxa"/>
            <w:gridSpan w:val="3"/>
            <w:tcBorders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 обладать гражданской правоспособностью в полном объеме для заключения и исполнения Договора;</w:t>
            </w:r>
          </w:p>
        </w:tc>
        <w:tc>
          <w:tcPr>
            <w:tcW w:w="272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  <w:t>2.3.2</w:t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 быть зарегистрирован в установленном порядке и находиться на налоговом учете в соответствии с требованиями Налогового кодекса РФ;</w:t>
            </w:r>
          </w:p>
        </w:tc>
        <w:tc>
          <w:tcPr>
            <w:tcW w:w="27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  <w:t>2.3.3</w:t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 не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27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  <w:t>2.3.4</w:t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 исполнять свои обязательства по уплате налогов, сборов и иных обязательных платежей;</w:t>
            </w:r>
          </w:p>
        </w:tc>
        <w:tc>
          <w:tcPr>
            <w:tcW w:w="27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  <w:t>2.3.5</w:t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 нести ответственность за качество оказанных услуг;</w:t>
            </w:r>
          </w:p>
        </w:tc>
        <w:tc>
          <w:tcPr>
            <w:tcW w:w="27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  <w:t>2.3.6</w:t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 не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27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  <w:lang w:eastAsia="x-none"/>
              </w:rPr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x-none" w:bidi="ar-SA"/>
              </w:rPr>
              <w:t>3.1</w:t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Оказываемые услуги должны соответствовать требованиям техники безопасности, нормативно-технической документации и иных нормативных актов, предусмотренных Российским законодательством в части осуществления данного вида деятельности.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left"/>
              <w:rPr>
                <w:rFonts w:ascii="Times New Roman;serif" w:hAnsi="Times New Roman;serif" w:cs="Times New Roman;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;serif" w:ascii="Times New Roman;serif" w:hAnsi="Times New Roman;serif"/>
                <w:b/>
                <w:bCs/>
                <w:sz w:val="24"/>
                <w:szCs w:val="24"/>
                <w:lang w:eastAsia="ar-SA"/>
              </w:rPr>
              <w:t>Прочие требования к оказанию услуг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3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x-none"/>
              </w:rPr>
              <w:t>4.1</w:t>
            </w:r>
          </w:p>
        </w:tc>
        <w:tc>
          <w:tcPr>
            <w:tcW w:w="966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Участник должен иметь не менее одной собственной (либо в аренде) производственной базы для оказания </w:t>
            </w:r>
            <w:r>
              <w:rPr>
                <w:rFonts w:eastAsia="Calibri"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pacing w:val="-10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 xml:space="preserve">Услуги по аварийно-спасательному обслуживанию опасного производственного объекта  </w:t>
            </w:r>
            <w:r>
              <w:rPr>
                <w:rFonts w:eastAsia="Calibri"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8"/>
                <w:u w:val="none"/>
                <w:em w:val="none"/>
                <w:lang w:val="ru-RU" w:eastAsia="x-none" w:bidi="ar-SA"/>
              </w:rPr>
              <w:t>для нужд Саяно-Шушенского филиала АО «ТК РусГидро».</w:t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584" w:type="dxa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Договор аренды или свидетельство о праве собственности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381" w:bottom="851"/>
          <w:pgNumType w:fmt="decimal"/>
          <w:formProt w:val="false"/>
          <w:titlePg/>
          <w:textDirection w:val="lrTb"/>
          <w:docGrid w:type="default" w:linePitch="381" w:charSpace="8192"/>
        </w:sectPr>
      </w:pPr>
    </w:p>
    <w:p>
      <w:pPr>
        <w:pStyle w:val="Normal"/>
        <w:ind w:right="-2"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2.3  </w:t>
      </w:r>
      <w:r>
        <w:rPr>
          <w:b/>
          <w:bCs/>
          <w:sz w:val="24"/>
          <w:szCs w:val="24"/>
        </w:rPr>
        <w:t xml:space="preserve">В составе заявки </w:t>
      </w:r>
      <w:r>
        <w:rPr>
          <w:b/>
          <w:bCs/>
          <w:sz w:val="24"/>
          <w:szCs w:val="24"/>
        </w:rPr>
        <w:t>необходимо предоставить:</w:t>
      </w:r>
    </w:p>
    <w:p>
      <w:pPr>
        <w:pStyle w:val="Normal"/>
        <w:ind w:right="-2" w:hanging="0"/>
        <w:jc w:val="both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 xml:space="preserve">частник должен предоставить Коммерческое предложение, </w:t>
      </w:r>
      <w:r>
        <w:rPr>
          <w:bCs/>
          <w:sz w:val="24"/>
          <w:szCs w:val="24"/>
        </w:rPr>
        <w:t>подготовленное в соответствии с настоящим ТТ по форме, представленной в документации о закупке</w:t>
      </w:r>
      <w:r>
        <w:rPr>
          <w:bCs/>
          <w:sz w:val="24"/>
          <w:szCs w:val="24"/>
        </w:rPr>
        <w:t xml:space="preserve"> с указанием стоимости предложения. </w:t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9" w:name="_Toc181254708"/>
      <w:bookmarkStart w:id="30" w:name="_Toc53395937"/>
      <w:bookmarkStart w:id="31" w:name="_Toc53393312"/>
      <w:r>
        <w:rPr>
          <w:lang w:val="ru-RU"/>
        </w:rPr>
        <w:t>Требования к документации по ценообразованию</w:t>
      </w:r>
      <w:bookmarkEnd w:id="30"/>
      <w:bookmarkEnd w:id="31"/>
      <w:r>
        <w:rPr>
          <w:lang w:val="ru-RU"/>
        </w:rPr>
        <w:t xml:space="preserve"> на этапе закупки</w:t>
      </w:r>
      <w:bookmarkEnd w:id="29"/>
    </w:p>
    <w:p>
      <w:pPr>
        <w:pStyle w:val="Normal"/>
        <w:ind w:left="357" w:hanging="357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ind w:right="-2" w:hanging="0"/>
        <w:jc w:val="both"/>
        <w:rPr/>
      </w:pPr>
      <w:r>
        <w:rPr>
          <w:sz w:val="24"/>
          <w:szCs w:val="24"/>
        </w:rPr>
        <w:t xml:space="preserve">3.1. Расчет стоимости </w:t>
      </w:r>
      <w:r>
        <w:rPr>
          <w:rFonts w:eastAsia="Calibri" w:cs="Times New Roman"/>
          <w:b w:val="false"/>
          <w:bCs/>
          <w:i w:val="false"/>
          <w:strike w:val="false"/>
          <w:dstrike w:val="false"/>
          <w:outline w:val="false"/>
          <w:shadow w:val="false"/>
          <w:spacing w:val="-10"/>
          <w:kern w:val="0"/>
          <w:sz w:val="24"/>
          <w:szCs w:val="24"/>
          <w:u w:val="none"/>
          <w:em w:val="none"/>
          <w:lang w:val="ru-RU" w:eastAsia="x-none" w:bidi="ar-SA"/>
        </w:rPr>
        <w:t xml:space="preserve">услуг на аварийно-спасательное обслуживание опасного производственного объекта  </w:t>
      </w:r>
      <w:r>
        <w:rPr>
          <w:rFonts w:eastAsia="Calibri" w:cs="Times New Roman"/>
          <w:b w:val="false"/>
          <w:bCs/>
          <w:i w:val="false"/>
          <w:strike w:val="false"/>
          <w:dstrike w:val="false"/>
          <w:outline w:val="false"/>
          <w:shadow w:val="false"/>
          <w:kern w:val="0"/>
          <w:sz w:val="24"/>
          <w:szCs w:val="28"/>
          <w:u w:val="none"/>
          <w:em w:val="none"/>
          <w:lang w:val="ru-RU" w:eastAsia="x-none" w:bidi="ar-SA"/>
        </w:rPr>
        <w:t>для нужд Саяно-Шушенского филиала АО «ТК РусГидро».</w:t>
      </w:r>
      <w:r>
        <w:rPr>
          <w:sz w:val="24"/>
          <w:szCs w:val="24"/>
        </w:rPr>
        <w:t xml:space="preserve"> должен быть представлен по форме Приложения № 1 к настоящим техническим требованиям. Стоимость </w:t>
      </w:r>
      <w:r>
        <w:rPr>
          <w:rFonts w:eastAsia="Calibri" w:cs="Times New Roman"/>
          <w:b w:val="false"/>
          <w:bCs/>
          <w:i w:val="false"/>
          <w:strike w:val="false"/>
          <w:dstrike w:val="false"/>
          <w:outline w:val="false"/>
          <w:shadow w:val="false"/>
          <w:spacing w:val="-10"/>
          <w:kern w:val="0"/>
          <w:sz w:val="24"/>
          <w:szCs w:val="24"/>
          <w:u w:val="none"/>
          <w:em w:val="none"/>
          <w:lang w:val="ru-RU" w:eastAsia="x-none" w:bidi="ar-SA"/>
        </w:rPr>
        <w:t xml:space="preserve">услуг на аварийно-спасательное обслуживание опасного производственного объекта  </w:t>
      </w:r>
      <w:r>
        <w:rPr>
          <w:rFonts w:eastAsia="Calibri" w:cs="Times New Roman"/>
          <w:b w:val="false"/>
          <w:bCs/>
          <w:i w:val="false"/>
          <w:strike w:val="false"/>
          <w:dstrike w:val="false"/>
          <w:outline w:val="false"/>
          <w:shadow w:val="false"/>
          <w:kern w:val="0"/>
          <w:sz w:val="24"/>
          <w:szCs w:val="28"/>
          <w:u w:val="none"/>
          <w:em w:val="none"/>
          <w:lang w:val="ru-RU" w:eastAsia="x-none" w:bidi="ar-SA"/>
        </w:rPr>
        <w:t>для нужд Саяно-Шушенского филиала АО «ТК РусГидро»</w:t>
      </w:r>
      <w:r>
        <w:rPr>
          <w:sz w:val="24"/>
          <w:szCs w:val="24"/>
        </w:rPr>
        <w:t>, накладные расходы, расходные материалы, оплата таможенных пошлин, налогов, сборов и других обязательных платежей, в том числе НДС, должны входить в стоимость услуг.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8"/>
        <w:rPr>
          <w:bCs/>
          <w:spacing w:val="-10"/>
        </w:rPr>
      </w:pPr>
      <w:r>
        <w:rPr>
          <w:bCs/>
          <w:spacing w:val="-10"/>
          <w:sz w:val="24"/>
          <w:szCs w:val="24"/>
        </w:rPr>
        <w:t>3.2.   Цена договора остается фиксированной на весь срок действия договора и не подлежит изменению.</w:t>
      </w:r>
    </w:p>
    <w:p>
      <w:pPr>
        <w:pStyle w:val="Normal"/>
        <w:ind w:right="-2" w:hanging="0"/>
        <w:jc w:val="both"/>
        <w:rPr/>
      </w:pPr>
      <w:r>
        <w:rPr>
          <w:bCs/>
          <w:sz w:val="24"/>
          <w:szCs w:val="24"/>
        </w:rPr>
        <w:t>3.3. Выбор победителя проводится на основании полученных балов по порядку оценки и сопоставления заявок участников указанному в Приложении № 6 к Закупочной документации «Порядок и критерии оценки и сопоставления заявок».</w:t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/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ind w:left="0" w:hanging="0"/>
        <w:jc w:val="center"/>
        <w:rPr/>
      </w:pPr>
      <w:bookmarkStart w:id="32" w:name="__RefHeading___Toc15026_4083542239"/>
      <w:bookmarkEnd w:id="32"/>
      <w:r>
        <w:rPr/>
        <w:t>4 . Приложения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Приложение №1 - Расчет стоимости </w:t>
      </w:r>
      <w:r>
        <w:rPr>
          <w:rFonts w:eastAsia="Calibri" w:cs="Times New Roman"/>
          <w:b w:val="false"/>
          <w:bCs/>
          <w:i w:val="false"/>
          <w:strike w:val="false"/>
          <w:dstrike w:val="false"/>
          <w:outline w:val="false"/>
          <w:shadow w:val="false"/>
          <w:spacing w:val="-10"/>
          <w:kern w:val="0"/>
          <w:sz w:val="24"/>
          <w:szCs w:val="24"/>
          <w:u w:val="none"/>
          <w:em w:val="none"/>
          <w:lang w:val="ru-RU" w:eastAsia="x-none" w:bidi="ar-SA"/>
        </w:rPr>
        <w:t xml:space="preserve">услуг на аварийно-спасательное обслуживание опасного производственного объекта  </w:t>
      </w:r>
      <w:r>
        <w:rPr>
          <w:rFonts w:eastAsia="Calibri" w:cs="Times New Roman"/>
          <w:b w:val="false"/>
          <w:bCs/>
          <w:i w:val="false"/>
          <w:strike w:val="false"/>
          <w:dstrike w:val="false"/>
          <w:outline w:val="false"/>
          <w:shadow w:val="false"/>
          <w:kern w:val="0"/>
          <w:sz w:val="24"/>
          <w:szCs w:val="28"/>
          <w:u w:val="none"/>
          <w:em w:val="none"/>
          <w:lang w:val="ru-RU" w:eastAsia="x-none" w:bidi="ar-SA"/>
        </w:rPr>
        <w:t>для нужд Саяно-Шушенского филиала АО «ТК РусГидро».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Старший мастер ГЭЗСиТ                                                                                         Кшуманев С.А.</w:t>
      </w:r>
    </w:p>
    <w:p>
      <w:pPr>
        <w:pStyle w:val="NoSpacing"/>
        <w:jc w:val="both"/>
        <w:rPr>
          <w:szCs w:val="22"/>
        </w:rPr>
      </w:pPr>
      <w:r>
        <w:rPr>
          <w:szCs w:val="22"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bookmarkStart w:id="33" w:name="_Toc46743519"/>
      <w:bookmarkStart w:id="34" w:name="_Toc51339699"/>
      <w:bookmarkStart w:id="35" w:name="_Toc46743519"/>
      <w:bookmarkStart w:id="36" w:name="_Toc51339699"/>
      <w:bookmarkEnd w:id="35"/>
      <w:bookmarkEnd w:id="36"/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8192"/>
        </w:sect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r>
        <w:br w:type="page"/>
      </w:r>
    </w:p>
    <w:p>
      <w:pPr>
        <w:pStyle w:val="Normal"/>
        <w:jc w:val="right"/>
        <w:rPr/>
      </w:pPr>
      <w:r>
        <w:rPr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Расчет стоимости </w:t>
      </w:r>
      <w:r>
        <w:rPr>
          <w:rFonts w:eastAsia="Calibri" w:cs="Times New Roman"/>
          <w:b w:val="false"/>
          <w:bCs/>
          <w:i w:val="false"/>
          <w:strike w:val="false"/>
          <w:dstrike w:val="false"/>
          <w:outline w:val="false"/>
          <w:shadow w:val="false"/>
          <w:spacing w:val="-10"/>
          <w:kern w:val="0"/>
          <w:sz w:val="24"/>
          <w:szCs w:val="24"/>
          <w:u w:val="none"/>
          <w:em w:val="none"/>
          <w:lang w:val="ru-RU" w:eastAsia="x-none" w:bidi="ar-SA"/>
        </w:rPr>
        <w:t xml:space="preserve">услуг на аварийно-спасательное обслуживание опасного производственного объекта  </w:t>
      </w:r>
      <w:r>
        <w:rPr>
          <w:rFonts w:eastAsia="Calibri" w:cs="Times New Roman"/>
          <w:b w:val="false"/>
          <w:bCs/>
          <w:i w:val="false"/>
          <w:strike w:val="false"/>
          <w:dstrike w:val="false"/>
          <w:outline w:val="false"/>
          <w:shadow w:val="false"/>
          <w:kern w:val="0"/>
          <w:sz w:val="24"/>
          <w:szCs w:val="28"/>
          <w:u w:val="none"/>
          <w:em w:val="none"/>
          <w:lang w:val="ru-RU" w:eastAsia="x-none" w:bidi="ar-SA"/>
        </w:rPr>
        <w:t>для нужд Саяно-Шушенского филиала АО «ТК РусГидро».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6"/>
        <w:gridCol w:w="3703"/>
        <w:gridCol w:w="1695"/>
        <w:gridCol w:w="2446"/>
        <w:gridCol w:w="1754"/>
        <w:gridCol w:w="4020"/>
      </w:tblGrid>
      <w:tr>
        <w:trPr>
          <w:trHeight w:val="609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Ед. изм.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Кол-во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Цена за единицу, руб., без НДС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Общая стоимость,  руб., без НДС</w:t>
            </w:r>
          </w:p>
        </w:tc>
      </w:tr>
      <w:tr>
        <w:trPr>
          <w:trHeight w:val="692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7" w:hanging="0"/>
              <w:jc w:val="center"/>
              <w:rPr/>
            </w:pPr>
            <w:r>
              <w:rPr/>
              <w:t>1.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8"/>
                <w:u w:val="none"/>
                <w:em w:val="none"/>
              </w:rPr>
              <w:t xml:space="preserve">Оказание </w:t>
            </w:r>
            <w:r>
              <w:rPr>
                <w:rFonts w:eastAsia="Calibri"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pacing w:val="-10"/>
                <w:kern w:val="0"/>
                <w:sz w:val="20"/>
                <w:szCs w:val="24"/>
                <w:u w:val="none"/>
                <w:em w:val="none"/>
                <w:lang w:val="ru-RU" w:eastAsia="x-none" w:bidi="ar-SA"/>
              </w:rPr>
              <w:t xml:space="preserve">услуг на аварийно-спасательное обслуживание опасного производственного объекта  </w:t>
            </w:r>
            <w:r>
              <w:rPr>
                <w:rFonts w:eastAsia="Calibri"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0"/>
                <w:szCs w:val="28"/>
                <w:u w:val="none"/>
                <w:em w:val="none"/>
                <w:lang w:val="ru-RU" w:eastAsia="x-none" w:bidi="ar-SA"/>
              </w:rPr>
              <w:t>для нужд Саяно-Шушенского филиала АО «ТК РусГидро».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9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color w:val="000000"/>
              </w:rPr>
              <w:t>Итого стоимость предложения, руб. без НДС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9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color w:val="000000"/>
              </w:rPr>
              <w:t>Сумма НДС, руб.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9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color w:val="000000"/>
              </w:rPr>
              <w:t>Итого стоимость предложения, руб. с НДС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135" w:right="709" w:gutter="0" w:header="680" w:top="1134" w:footer="0" w:bottom="720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sectPr>
      <w:headerReference w:type="default" r:id="rId18"/>
      <w:headerReference w:type="first" r:id="rId19"/>
      <w:footerReference w:type="default" r:id="rId20"/>
      <w:footerReference w:type="first" r:id="rId21"/>
      <w:type w:val="nextPage"/>
      <w:pgSz w:w="11906" w:h="16838"/>
      <w:pgMar w:left="1134" w:right="426" w:gutter="0" w:header="709" w:top="992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/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  <w:rPr/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360"/>
      </w:pPr>
      <w:rPr/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/>
    </w:lvl>
    <w:lvl w:ilvl="4">
      <w:start w:val="1"/>
      <w:numFmt w:val="decimal"/>
      <w:lvlText w:val="%5."/>
      <w:lvlJc w:val="left"/>
      <w:pPr>
        <w:tabs>
          <w:tab w:val="num" w:pos="2146"/>
        </w:tabs>
        <w:ind w:left="2146" w:hanging="360"/>
      </w:pPr>
      <w:rPr/>
    </w:lvl>
    <w:lvl w:ilvl="5">
      <w:start w:val="1"/>
      <w:numFmt w:val="decimal"/>
      <w:lvlText w:val="%6."/>
      <w:lvlJc w:val="left"/>
      <w:pPr>
        <w:tabs>
          <w:tab w:val="num" w:pos="2506"/>
        </w:tabs>
        <w:ind w:left="2506" w:hanging="360"/>
      </w:pPr>
      <w:rPr/>
    </w:lvl>
    <w:lvl w:ilvl="6">
      <w:start w:val="1"/>
      <w:numFmt w:val="decimal"/>
      <w:lvlText w:val="%7."/>
      <w:lvlJc w:val="left"/>
      <w:pPr>
        <w:tabs>
          <w:tab w:val="num" w:pos="2866"/>
        </w:tabs>
        <w:ind w:left="2866" w:hanging="360"/>
      </w:pPr>
      <w:rPr/>
    </w:lvl>
    <w:lvl w:ilvl="7">
      <w:start w:val="1"/>
      <w:numFmt w:val="decimal"/>
      <w:lvlText w:val="%8."/>
      <w:lvlJc w:val="left"/>
      <w:pPr>
        <w:tabs>
          <w:tab w:val="num" w:pos="3226"/>
        </w:tabs>
        <w:ind w:left="3226" w:hanging="360"/>
      </w:pPr>
      <w:rPr/>
    </w:lvl>
    <w:lvl w:ilvl="8">
      <w:start w:val="1"/>
      <w:numFmt w:val="decimal"/>
      <w:lvlText w:val="%9."/>
      <w:lvlJc w:val="left"/>
      <w:pPr>
        <w:tabs>
          <w:tab w:val="num" w:pos="3586"/>
        </w:tabs>
        <w:ind w:left="3586" w:hanging="36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  <w:bCs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2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Символ нумерации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d71ea8"/>
    <w:rPr>
      <w:color w:val="0563C1" w:themeColor="hyperlink"/>
      <w:u w:val="single"/>
    </w:rPr>
  </w:style>
  <w:style w:type="character" w:styleId="Style14" w:customStyle="1">
    <w:name w:val="Символ сноски"/>
    <w:semiHidden/>
    <w:unhideWhenUsed/>
    <w:qFormat/>
    <w:rsid w:val="008d571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/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</w:rPr>
  </w:style>
  <w:style w:type="paragraph" w:styleId="Style22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widowControl/>
      <w:tabs>
        <w:tab w:val="clear" w:pos="708"/>
        <w:tab w:val="left" w:pos="1120" w:leader="none"/>
        <w:tab w:val="right" w:pos="9911" w:leader="dot"/>
      </w:tabs>
      <w:suppressAutoHyphens w:val="true"/>
      <w:bidi w:val="0"/>
      <w:spacing w:before="0" w:after="0"/>
      <w:ind w:left="567" w:right="0" w:hanging="0"/>
      <w:jc w:val="left"/>
    </w:pPr>
    <w:rPr>
      <w:rFonts w:cs="Calibri" w:cstheme="minorHAnsi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/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112">
    <w:name w:val="заголовок 11"/>
    <w:basedOn w:val="Normal"/>
    <w:next w:val="Normal"/>
    <w:qFormat/>
    <w:pPr>
      <w:keepNext w:val="true"/>
      <w:jc w:val="center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2037998941" w:customStyle="1">
    <w:name w:val="32037998941"/>
    <w:qFormat/>
  </w:style>
  <w:style w:type="numbering" w:styleId="41355696861" w:customStyle="1">
    <w:name w:val="41355696861"/>
    <w:qFormat/>
  </w:style>
  <w:style w:type="numbering" w:styleId="WW8Num27">
    <w:name w:val="WW8Num27"/>
    <w:qFormat/>
  </w:style>
  <w:style w:type="numbering" w:styleId="WW8Num7">
    <w:name w:val="WW8Num7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9F2E-1057-40E5-BD5F-493FE3CA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5404</TotalTime>
  <Application>AlterOffice/3.4.0.9$Linux_X86_64 LibreOffice_project/b8daf9e823b1a5463a2f48435ddc2e8696e7d4fc</Application>
  <AppVersion>15.0000</AppVersion>
  <Pages>10</Pages>
  <Words>1429</Words>
  <Characters>9899</Characters>
  <CharactersWithSpaces>11224</CharactersWithSpaces>
  <Paragraphs>252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2024-10-31T06:51:00Z</dcterms:created>
  <dc:creator>Быстров Олег Геннадьевич</dc:creator>
  <dc:description/>
  <dc:language>ru-RU</dc:language>
  <cp:lastModifiedBy>taskinaea@corp.gidroogk.com</cp:lastModifiedBy>
  <cp:lastPrinted>2025-02-24T09:49:37Z</cp:lastPrinted>
  <dcterms:modified xsi:type="dcterms:W3CDTF">2026-06-08T09:02:59Z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