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firstLine="567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>УТВЕРЖДАЮ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>Директор Саяно-Шушенского филиала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>АО «ТК РусГидро»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>________________ В.А. Кяри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>«____» ______________ 2027 г.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Техническое задание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Style w:val="Blk"/>
          <w:rFonts w:eastAsia="Calibri" w:cs="Book Antiqua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en-US" w:bidi="ar-SA"/>
        </w:rPr>
        <w:t>О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КПД 2: 3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3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.1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3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.1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2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.000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FFFFFF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1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Ремонт 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и обслуживание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облучателя-рециркулятора ArmedСН111-115l l  для нужд Саяно-Шушенского филиала АО «ТК РусГидро»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ЛОТ №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7"/>
              <w:vanish w:val="false"/>
            </w:rPr>
            <w:instrText xml:space="preserve"> TOC \z \o "1-4" \u \h</w:instrText>
          </w:r>
          <w:r>
            <w:rPr>
              <w:webHidden/>
              <w:rStyle w:val="Style7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7"/>
                <w:vanish w:val="false"/>
              </w:rPr>
              <w:t>1.</w:t>
            </w:r>
            <w:r>
              <w:rPr>
                <w:rStyle w:val="Style7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7"/>
              </w:rPr>
              <w:t>Общие сведения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7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7"/>
                <w:iCs/>
                <w:vanish w:val="false"/>
              </w:rPr>
              <w:t>1.1.</w:t>
            </w:r>
            <w:r>
              <w:rPr>
                <w:rStyle w:val="Style7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7"/>
              </w:rPr>
              <w:t>Обозначения и сокращения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7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7"/>
                <w:iCs/>
                <w:vanish w:val="false"/>
              </w:rPr>
              <w:t>1.2.</w:t>
            </w:r>
            <w:r>
              <w:rPr>
                <w:rStyle w:val="Style7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7"/>
              </w:rPr>
              <w:t>Наименование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7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7"/>
                <w:vanish w:val="false"/>
              </w:rPr>
              <w:t>Таблица 1. Перечень объектов заказчика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7"/>
                <w:lang w:val="en-US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7"/>
                <w:iCs/>
                <w:vanish w:val="false"/>
              </w:rPr>
              <w:t>1.</w:t>
            </w:r>
            <w:r>
              <w:rPr>
                <w:rStyle w:val="Style7"/>
                <w:iCs/>
                <w:lang w:val="en-US"/>
              </w:rPr>
              <w:t>3</w:t>
            </w:r>
            <w:r>
              <w:rPr>
                <w:rStyle w:val="Style7"/>
                <w:iCs/>
              </w:rPr>
              <w:t>.</w:t>
            </w:r>
            <w:r>
              <w:rPr>
                <w:rStyle w:val="Style7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7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7"/>
                <w:lang w:val="en-US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7"/>
                <w:vanish w:val="false"/>
              </w:rPr>
              <w:t>2.</w:t>
            </w:r>
            <w:r>
              <w:rPr>
                <w:rStyle w:val="Style7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7"/>
                <w:iCs/>
              </w:rPr>
              <w:t>Требования к продукции</w:t>
            </w:r>
            <w:r>
              <w:rPr>
                <w:rStyle w:val="Style7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7"/>
                <w:lang w:val="en-US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7"/>
                <w:iCs/>
                <w:vanish w:val="false"/>
              </w:rPr>
              <w:t>2.1.</w:t>
            </w:r>
            <w:r>
              <w:rPr>
                <w:rStyle w:val="Style7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7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7"/>
                <w:vanish w:val="false"/>
              </w:rPr>
              <w:t>2.1.1.</w:t>
            </w:r>
            <w:r>
              <w:rPr>
                <w:rStyle w:val="Style7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7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7"/>
                <w:vanish w:val="false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7"/>
                <w:vanish w:val="false"/>
              </w:rPr>
              <w:t>2.1.2.</w:t>
            </w:r>
            <w:r>
              <w:rPr>
                <w:rStyle w:val="Style7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7"/>
              </w:rPr>
              <w:t>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7"/>
                <w:vanish w:val="false"/>
              </w:rPr>
              <w:t>Таблица 3. 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7"/>
                <w:iCs/>
                <w:vanish w:val="false"/>
              </w:rPr>
              <w:t>2.2.</w:t>
            </w:r>
            <w:r>
              <w:rPr>
                <w:rStyle w:val="Style7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7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7"/>
                <w:vanish w:val="false"/>
              </w:rPr>
              <w:t>Таблица 4. Требования к качеству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7"/>
                <w:lang w:val="en-US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7"/>
                <w:vanish w:val="false"/>
              </w:rPr>
              <w:t>3.</w:t>
            </w:r>
            <w:r>
              <w:rPr>
                <w:rStyle w:val="Style7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7"/>
              </w:rPr>
              <w:t>Требования к документации по ценообразованию на этапе закупки</w:t>
              <w:tab/>
              <w:t>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7"/>
                <w:lang w:val="en-US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7"/>
                <w:vanish w:val="false"/>
              </w:rPr>
              <w:t>4.</w:t>
            </w:r>
            <w:r>
              <w:rPr>
                <w:rStyle w:val="Style7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7"/>
              </w:rPr>
              <w:t>Требования к документации по ценообразованию на этапе заключения (исполнения) договора</w:t>
              <w:tab/>
              <w:t>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7"/>
                <w:lang w:val="en-US"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2">
            <w:r>
              <w:rPr>
                <w:webHidden/>
                <w:rStyle w:val="Style7"/>
                <w:vanish w:val="false"/>
              </w:rPr>
              <w:t>5.</w:t>
            </w:r>
            <w:r>
              <w:rPr>
                <w:rStyle w:val="Style7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7"/>
                <w:iCs/>
              </w:rPr>
              <w:t>Приложения</w:t>
            </w:r>
            <w:r>
              <w:rPr>
                <w:rStyle w:val="Style7"/>
              </w:rPr>
              <w:tab/>
              <w:t>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7"/>
                <w:lang w:val="en-US"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3">
            <w:r>
              <w:rPr>
                <w:webHidden/>
                <w:rStyle w:val="Style7"/>
                <w:vanish w:val="false"/>
              </w:rPr>
              <w:t>Требования к оформлению и составлению документации по ценообразованию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7"/>
                <w:lang w:val="en-US"/>
              </w:rPr>
              <w:t>20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7"/>
              <w:lang w:val="en-US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rFonts w:ascii="Times New Roman" w:hAnsi="Times New Roman"/>
        </w:rPr>
      </w:pPr>
      <w:bookmarkStart w:id="0" w:name="_Toc54643694"/>
      <w:r>
        <w:rPr>
          <w:rFonts w:ascii="Times New Roman" w:hAnsi="Times New Roman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1"/>
        </w:numPr>
        <w:rPr>
          <w:rFonts w:ascii="Times New Roman" w:hAnsi="Times New Roman"/>
        </w:rPr>
      </w:pPr>
      <w:bookmarkStart w:id="1" w:name="_Toc54643695"/>
      <w:bookmarkStart w:id="2" w:name="_Toc46743505"/>
      <w:r>
        <w:rPr>
          <w:rFonts w:ascii="Times New Roman" w:hAnsi="Times New Roman"/>
        </w:rPr>
        <w:t>Обозначения и сокращения</w:t>
      </w:r>
      <w:bookmarkEnd w:id="1"/>
      <w:bookmarkEnd w:id="2"/>
    </w:p>
    <w:p>
      <w:pPr>
        <w:pStyle w:val="Normal"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lang w:val="x-none" w:eastAsia="x-none"/>
        </w:rPr>
      </w:r>
    </w:p>
    <w:tbl>
      <w:tblPr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55"/>
        <w:gridCol w:w="7125"/>
      </w:tblGrid>
      <w:tr>
        <w:trPr>
          <w:cantSplit w:val="true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1224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СШФ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1224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Саяно-Шушенский филиал</w:t>
            </w:r>
          </w:p>
        </w:tc>
      </w:tr>
      <w:tr>
        <w:trPr>
          <w:cantSplit w:val="true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1224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НПА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1224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Нормативно-правовой акт</w:t>
            </w:r>
          </w:p>
        </w:tc>
      </w:tr>
      <w:tr>
        <w:trPr>
          <w:cantSplit w:val="true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1224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СШФ АО «ТК РусГидро»</w:t>
            </w:r>
          </w:p>
        </w:tc>
        <w:tc>
          <w:tcPr>
            <w:tcW w:w="7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1224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Саяно-Шушенский филиал Акционерного общества «Транспортная компания РусГидро»</w:t>
            </w:r>
          </w:p>
        </w:tc>
      </w:tr>
    </w:tbl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1.2 Наименование рециркулятора, подлежащего техническому обслуживанию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Cs/>
          <w:color w:val="111111"/>
          <w:u w:val="single"/>
        </w:rPr>
      </w:pPr>
      <w:r>
        <w:rPr>
          <w:rFonts w:ascii="Times New Roman" w:hAnsi="Times New Roman"/>
          <w:iCs/>
          <w:color w:val="111111"/>
          <w:u w:val="single"/>
        </w:rPr>
        <w:t>Облучатель-рециркулятор медицинский «Armed СН 111-115»</w:t>
      </w:r>
    </w:p>
    <w:p>
      <w:pPr>
        <w:pStyle w:val="Normal"/>
        <w:ind w:left="-426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ОКПД 33.12.18.000 — услуги по ремонту и техническому обслуживанию небытового холодильного и вентиляционного оборудования для нужд Саяно-Шушенского филиала АО "ТК РусГидро".</w:t>
      </w:r>
    </w:p>
    <w:p>
      <w:pPr>
        <w:pStyle w:val="Normal"/>
        <w:ind w:left="-426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>Табли</w:t>
      </w:r>
      <w:r>
        <w:rPr>
          <w:rFonts w:ascii="Times New Roman" w:hAnsi="Times New Roman"/>
          <w:sz w:val="24"/>
          <w:szCs w:val="24"/>
        </w:rPr>
        <w:t>ца 1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Перечень объектов заказчика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45"/>
        <w:gridCol w:w="2143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Style w:val="Blk"/>
                <w:rFonts w:eastAsia="Calibri" w:cs="Book Antiqua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em w:val="none"/>
                <w:lang w:val="ru-RU" w:eastAsia="en-US" w:bidi="ar-SA"/>
              </w:rPr>
              <w:t>О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em w:val="none"/>
                <w:lang w:val="ru-RU" w:eastAsia="ru-RU" w:bidi="ar-SA"/>
              </w:rPr>
              <w:t>КПД 2: 3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em w:val="none"/>
                <w:lang w:val="ru-RU" w:eastAsia="ru-RU" w:bidi="ar-SA"/>
              </w:rPr>
              <w:t>3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em w:val="none"/>
                <w:lang w:val="ru-RU" w:eastAsia="ru-RU" w:bidi="ar-SA"/>
              </w:rPr>
              <w:t>.1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em w:val="none"/>
                <w:lang w:val="ru-RU" w:eastAsia="ru-RU" w:bidi="ar-SA"/>
              </w:rPr>
              <w:t>3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em w:val="none"/>
                <w:lang w:val="ru-RU" w:eastAsia="ru-RU" w:bidi="ar-SA"/>
              </w:rPr>
              <w:t>.1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em w:val="none"/>
                <w:lang w:val="ru-RU" w:eastAsia="ru-RU" w:bidi="ar-SA"/>
              </w:rPr>
              <w:t>2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em w:val="none"/>
                <w:lang w:val="ru-RU" w:eastAsia="ru-RU" w:bidi="ar-SA"/>
              </w:rPr>
              <w:t>.000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FFFF"/>
                <w:kern w:val="2"/>
                <w:sz w:val="28"/>
                <w:szCs w:val="28"/>
                <w:u w:val="none"/>
                <w:shd w:fill="auto" w:val="clear"/>
                <w:em w:val="none"/>
                <w:lang w:val="ru-RU" w:eastAsia="ru-RU" w:bidi="ar-SA"/>
              </w:rPr>
              <w:t>1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em w:val="none"/>
                <w:lang w:val="ru-RU" w:eastAsia="ru-RU" w:bidi="ar-SA"/>
              </w:rPr>
              <w:t xml:space="preserve">Ремонт 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em w:val="none"/>
                <w:lang w:val="ru-RU" w:eastAsia="ru-RU" w:bidi="ar-SA"/>
              </w:rPr>
              <w:t>и обслуживание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em w:val="none"/>
                <w:lang w:val="ru-RU" w:eastAsia="ru-RU" w:bidi="ar-SA"/>
              </w:rPr>
              <w:t xml:space="preserve"> облучателя-рециркулятора ArmedСН111-115l l  для нужд Саяно-Шушенского филиала АО «ТК РусГидро»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164" w:leader="none"/>
              </w:tabs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Республика Хакасия, г. Саяногорск,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164" w:leader="none"/>
              </w:tabs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р.п. Черемушки.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Облучатель-рециркулятор медицинский «Armed СН 111-115»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</w:tbl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</w:t>
      </w:r>
      <w:r>
        <w:rPr>
          <w:rFonts w:cs="Times New Roman" w:ascii="Times New Roman" w:hAnsi="Times New Roman"/>
          <w:sz w:val="22"/>
          <w:szCs w:val="22"/>
        </w:rPr>
        <w:t xml:space="preserve">1.3.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Заказчик предоставит исполнителю информацию о местах накопления, объемах, количестве отходов, схемах проездов. </w:t>
      </w:r>
    </w:p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iCs/>
          <w:caps/>
          <w:lang w:val="ru-RU"/>
        </w:rPr>
      </w:pPr>
      <w:bookmarkStart w:id="3" w:name="_Hlk48209761_Копия_1"/>
      <w:bookmarkStart w:id="4" w:name="_Toc50125126"/>
      <w:bookmarkEnd w:id="3"/>
      <w:bookmarkEnd w:id="4"/>
      <w:r>
        <w:rPr>
          <w:iCs/>
          <w:lang w:val="ru-RU"/>
        </w:rPr>
        <w:t>2</w:t>
      </w:r>
      <w:r>
        <w:rPr>
          <w:rFonts w:ascii="Times New Roman" w:hAnsi="Times New Roman"/>
          <w:iCs/>
          <w:lang w:val="ru-RU"/>
        </w:rPr>
        <w:t>.</w:t>
      </w:r>
      <w:bookmarkStart w:id="5" w:name="_Toc54643702"/>
      <w:bookmarkStart w:id="6" w:name="_Toc51339693"/>
      <w:r>
        <w:rPr>
          <w:rFonts w:ascii="Times New Roman" w:hAnsi="Times New Roman"/>
          <w:iCs/>
          <w:lang w:val="ru-RU"/>
        </w:rPr>
        <w:t>Требования</w:t>
      </w:r>
      <w:r>
        <w:rPr>
          <w:rFonts w:ascii="Times New Roman" w:hAnsi="Times New Roman"/>
          <w:iCs/>
        </w:rPr>
        <w:t xml:space="preserve"> к продукции</w:t>
      </w:r>
      <w:bookmarkEnd w:id="5"/>
      <w:bookmarkEnd w:id="6"/>
    </w:p>
    <w:p>
      <w:pPr>
        <w:pStyle w:val="Heading4"/>
        <w:numPr>
          <w:ilvl w:val="1"/>
          <w:numId w:val="1"/>
        </w:numPr>
        <w:rPr>
          <w:rFonts w:ascii="Times New Roman" w:hAnsi="Times New Roman"/>
        </w:rPr>
      </w:pPr>
      <w:bookmarkStart w:id="7" w:name="_Toc54643703"/>
      <w:r>
        <w:rPr>
          <w:rFonts w:ascii="Times New Roman" w:hAnsi="Times New Roman"/>
        </w:rPr>
        <w:t xml:space="preserve">Требования к объемам и срокам </w:t>
      </w:r>
      <w:r>
        <w:rPr>
          <w:rFonts w:ascii="Times New Roman" w:hAnsi="Times New Roman"/>
          <w:lang w:val="ru-RU"/>
        </w:rPr>
        <w:t>оказания услуг</w:t>
      </w:r>
      <w:bookmarkEnd w:id="7"/>
    </w:p>
    <w:p>
      <w:pPr>
        <w:pStyle w:val="Heading3"/>
        <w:numPr>
          <w:ilvl w:val="2"/>
          <w:numId w:val="1"/>
        </w:numPr>
        <w:rPr>
          <w:rFonts w:ascii="Times New Roman" w:hAnsi="Times New Roman"/>
        </w:rPr>
      </w:pPr>
      <w:bookmarkStart w:id="8" w:name="_Toc54643704"/>
      <w:r>
        <w:rPr>
          <w:rFonts w:ascii="Times New Roman" w:hAnsi="Times New Roman"/>
          <w:lang w:val="ru-RU"/>
        </w:rPr>
        <w:t>Требования к перечню и объему услуг</w:t>
      </w:r>
      <w:bookmarkEnd w:id="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bookmarkStart w:id="9" w:name="_Toc54643705"/>
      <w:bookmarkStart w:id="10" w:name="_Toc51339695"/>
      <w:r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Перечень </w:t>
      </w:r>
      <w:bookmarkEnd w:id="10"/>
      <w:r>
        <w:rPr>
          <w:rFonts w:ascii="Times New Roman" w:hAnsi="Times New Roman"/>
          <w:sz w:val="24"/>
          <w:szCs w:val="24"/>
          <w:lang w:val="ru-RU"/>
        </w:rPr>
        <w:t>и объем оказываемых услуг</w:t>
      </w:r>
      <w:bookmarkEnd w:id="9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Style w:val="Blk"/>
                <w:rFonts w:eastAsia="Calibri" w:cs="Book Antiqua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О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КПД 2: 3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3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.1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3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.1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2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.000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FFFF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1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Ремонт 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и обслуживание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 облучателя-рециркулятора ArmedСН111-115l l  для нужд Саяно-Шушенского филиала АО «ТК РусГидро»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</w:tbl>
    <w:p>
      <w:pPr>
        <w:pStyle w:val="Heading3"/>
        <w:numPr>
          <w:ilvl w:val="2"/>
          <w:numId w:val="1"/>
        </w:numPr>
        <w:rPr>
          <w:rFonts w:ascii="Times New Roman" w:hAnsi="Times New Roman"/>
        </w:rPr>
      </w:pPr>
      <w:bookmarkStart w:id="11" w:name="_Toc54643706"/>
      <w:bookmarkStart w:id="12" w:name="_Toc51339696"/>
      <w:r>
        <w:rPr>
          <w:rFonts w:ascii="Times New Roman" w:hAnsi="Times New Roman"/>
          <w:lang w:val="ru-RU"/>
        </w:rPr>
        <w:t xml:space="preserve">Требования </w:t>
      </w:r>
      <w:bookmarkEnd w:id="12"/>
      <w:r>
        <w:rPr>
          <w:rFonts w:ascii="Times New Roman" w:hAnsi="Times New Roman"/>
          <w:lang w:val="ru-RU"/>
        </w:rPr>
        <w:t>к срокам оказания услуг</w:t>
      </w:r>
      <w:bookmarkEnd w:id="1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работы проводятся силами, средствами и с использованием сертифицированных материалов Исполнителем.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bookmarkStart w:id="13" w:name="_Toc54643707"/>
      <w:bookmarkStart w:id="14" w:name="_Toc50125127"/>
      <w:bookmarkStart w:id="15" w:name="_Toc51339697"/>
      <w:bookmarkStart w:id="16" w:name="_Toc50125126_Копия_1"/>
      <w:bookmarkEnd w:id="16"/>
      <w:r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bookmarkStart w:id="17" w:name="_Hlk50465284"/>
      <w:r>
        <w:rPr>
          <w:rFonts w:ascii="Times New Roman" w:hAnsi="Times New Roman"/>
          <w:sz w:val="24"/>
          <w:szCs w:val="24"/>
        </w:rPr>
        <w:t xml:space="preserve">Требования </w:t>
      </w:r>
      <w:r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</w:rPr>
        <w:t xml:space="preserve"> срокам </w:t>
      </w:r>
      <w:bookmarkEnd w:id="14"/>
      <w:bookmarkEnd w:id="15"/>
      <w:bookmarkEnd w:id="17"/>
      <w:r>
        <w:rPr>
          <w:rFonts w:ascii="Times New Roman" w:hAnsi="Times New Roman"/>
          <w:sz w:val="24"/>
          <w:szCs w:val="24"/>
          <w:lang w:val="ru-RU"/>
        </w:rPr>
        <w:t>оказания услуг</w:t>
      </w:r>
      <w:bookmarkEnd w:id="13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3950" w:hRule="atLeast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Blk"/>
                <w:rFonts w:eastAsia="Calibri" w:cs="Book Antiqua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О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КПД 2: 3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3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.1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3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.1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2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.000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FFFF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1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Ремонт 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и обслуживание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 облучателя-рециркулятора ArmedСН111-115l l  для нужд Саяно-Шушенского филиала АО «ТК РусГидро»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даты подписания сторонами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bookmarkStart w:id="18" w:name="_Toc46743510"/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bookmarkEnd w:id="18"/>
            <w:r>
              <w:rPr>
                <w:rFonts w:ascii="Times New Roman" w:hAnsi="Times New Roman"/>
                <w:sz w:val="24"/>
                <w:szCs w:val="24"/>
              </w:rPr>
              <w:t>7г.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8192"/>
        </w:sectPr>
      </w:pPr>
    </w:p>
    <w:p>
      <w:pPr>
        <w:pStyle w:val="Heading4"/>
        <w:numPr>
          <w:ilvl w:val="1"/>
          <w:numId w:val="1"/>
        </w:numPr>
        <w:rPr>
          <w:rFonts w:ascii="Times New Roman" w:hAnsi="Times New Roman"/>
        </w:rPr>
      </w:pPr>
      <w:bookmarkStart w:id="19" w:name="_Toc54643709"/>
      <w:bookmarkStart w:id="20" w:name="_Toc51339698"/>
      <w:bookmarkStart w:id="21" w:name="_Toc54643708"/>
      <w:bookmarkStart w:id="22" w:name="_Toc46743511"/>
      <w:r>
        <w:rPr>
          <w:rFonts w:ascii="Times New Roman" w:hAnsi="Times New Roman"/>
        </w:rPr>
        <w:t xml:space="preserve">Требования к </w:t>
      </w:r>
      <w:bookmarkEnd w:id="22"/>
      <w:r>
        <w:rPr>
          <w:rFonts w:ascii="Times New Roman" w:hAnsi="Times New Roman"/>
          <w:lang w:val="ru-RU"/>
        </w:rPr>
        <w:t>качеству услуг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Таблица 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. Требования к </w:t>
      </w:r>
      <w:bookmarkEnd w:id="20"/>
      <w:r>
        <w:rPr>
          <w:rFonts w:ascii="Times New Roman" w:hAnsi="Times New Roman"/>
          <w:sz w:val="24"/>
          <w:szCs w:val="24"/>
          <w:lang w:val="ru-RU"/>
        </w:rPr>
        <w:t>качеству услуг</w:t>
      </w:r>
      <w:bookmarkEnd w:id="19"/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Наименование услуг/этапа услуг 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Style w:val="Blk"/>
          <w:rFonts w:eastAsia="Calibri" w:cs="Book Antiqua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en-US" w:bidi="ar-SA"/>
        </w:rPr>
        <w:t>О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КПД 2: 3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3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.1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3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.1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2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.000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FFFFFF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1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Ремонт 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и обслуживание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облучателя-рециркулятора ArmedСН111-115l l  для нужд Саяно-Шушенского филиала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fff5"/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7"/>
        <w:gridCol w:w="3455"/>
        <w:gridCol w:w="4715"/>
        <w:gridCol w:w="1845"/>
        <w:gridCol w:w="2372"/>
        <w:gridCol w:w="2129"/>
      </w:tblGrid>
      <w:tr>
        <w:trPr/>
        <w:tc>
          <w:tcPr>
            <w:tcW w:w="7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7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2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7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3"/>
          </w:p>
        </w:tc>
        <w:tc>
          <w:tcPr>
            <w:tcW w:w="3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550" w:hRule="atLeast"/>
        </w:trPr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требований федеральных нормативных актов в области технического обслуживания рециркуляторов.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 оказании услуг исполнитель должен руководствоваться следующими НПА: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Федеральный закон от 10.01.2002 N 7-ФЗ "Об охране окружающей среды";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both"/>
              <w:rPr>
                <w:rStyle w:val="Strong"/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Style w:val="Strong"/>
                <w:rFonts w:cs="Times New Roman"/>
                <w:b w:val="false"/>
                <w:bCs w:val="false"/>
              </w:rPr>
              <w:t>Федеральный закон от 21.11.2011 N 323-ФЗ "Об основах охраны здоровья граждан в Российской Федерации";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both"/>
              <w:rPr>
                <w:rStyle w:val="Strong"/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Style w:val="Strong"/>
                <w:rFonts w:cs="Times New Roman"/>
                <w:b w:val="false"/>
                <w:bCs w:val="false"/>
              </w:rPr>
              <w:t>Федеральный закон от 04.05.2011 N 99-ФЗ "О лицензировании отдельных видов деятельности;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both"/>
              <w:rPr>
                <w:rStyle w:val="Strong"/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Style w:val="Strong"/>
                <w:rFonts w:cs="Times New Roman"/>
                <w:b w:val="false"/>
                <w:bCs w:val="false"/>
              </w:rPr>
              <w:t>Федеральный закон от 23.11.1995 № 174-ФЗ «Об экологической экспертизе».</w:t>
            </w:r>
          </w:p>
          <w:p>
            <w:pPr>
              <w:pStyle w:val="ListParagraph"/>
              <w:widowControl w:val="false"/>
              <w:ind w:left="1429" w:hanging="0"/>
              <w:jc w:val="both"/>
              <w:rPr>
                <w:rStyle w:val="Strong"/>
                <w:rFonts w:ascii="Times New Roman" w:hAnsi="Times New Roman" w:cs="Times New Roman"/>
                <w:b w:val="false"/>
                <w:bCs w:val="false"/>
                <w:highlight w:val="gree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highlight w:val="green"/>
              </w:rPr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лицензии на осуществление деятельности по обслуживанию медицинской техники.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Исполнителем может быть только юридическое лицо, имеющее действующую лицензию на осуществление деятельности по обслуживанию медицинской техники.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документа.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em w:val="none"/>
                <w:lang w:val="ru-RU" w:eastAsia="ru-RU" w:bidi="ar-SA"/>
              </w:rPr>
              <w:t xml:space="preserve">Ремонт 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em w:val="none"/>
                <w:lang w:val="ru-RU" w:eastAsia="ru-RU" w:bidi="ar-SA"/>
              </w:rPr>
              <w:t>и обслуживание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em w:val="none"/>
                <w:lang w:val="ru-RU" w:eastAsia="ru-RU" w:bidi="ar-SA"/>
              </w:rPr>
              <w:t xml:space="preserve"> облучателя-рециркулятора ArmedСН111-115l l  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Исходя из географической или территориальной привязки Заказчика, исполнитель оказания услуг должен иметь возможность осуществлять деятельность, в р.п. Черемушки, г. Саяногорск, д. 101, Республика Хакасия.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График оказания услуг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согласованию, график транспортировки согласовывается и указывается в договоре, заявке, или в иной установленной форме, на оказание услуг. Обработка, обезвреживание и захоронение осуществляются в соответствии с внутренним распорядком исполнителя.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оказания услуг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по транспортировке должна оказываться с 8 до 17 часов по местному времени, согласно заранее согласованному времени вывоза. Обработка, обезвреживание и захоронение осуществляются в соответствии с внутренним распорядком исполнителя.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оборудован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ремонта 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обслуживания рециркуляторов.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должен осуществлять качественное обслуживание рециркуляторов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 ремонт.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обладать необходимым минимальным количеством работников для выполнения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обладать необходимым минимальным количеством работников, прошедших соответствующие обучения, для выполнения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услуги — эффективная работа рециркулятора.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информации.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Предоставлять информацию в соответствии со стандартами раскрытия информации в области обращения с отходами в порядке, предусмотренном законодательством Российской Федерации.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Информирование о тарифах.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Своевременно предоставлять информацию об изменениях тарифов на выполнение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утилизации медицинских отходов класса Б должны быть безопасны и должны исключать возможность причинения вреда здоровью граждан, работников Заказчика или иных лиц.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Уведомление о невозможности выполнения услуги.</w:t>
            </w:r>
          </w:p>
        </w:tc>
        <w:tc>
          <w:tcPr>
            <w:tcW w:w="4715" w:type="dxa"/>
            <w:tcBorders/>
          </w:tcPr>
          <w:p>
            <w:pPr>
              <w:pStyle w:val="Style51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Участник обязан:</w:t>
            </w:r>
          </w:p>
          <w:p>
            <w:pPr>
              <w:pStyle w:val="Style51"/>
              <w:widowControl w:val="false"/>
              <w:suppressAutoHyphens w:val="true"/>
              <w:spacing w:before="0" w:after="0"/>
              <w:ind w:firstLine="709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в случае невозможности исполнения своих обязанностей по независящим от него причинам немедленно письменно информировать об этом Заказчика.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Составление необходимых документов об оказании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составляет Акт выполненных работ, счет.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4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Акт выполненных работ, счет Заказчику. Передача документов может осуществляться посредством электронной почты, средств ведения электронного документооборота, почтой в бумажном варианте. Необходима возможность осуществления дублирования документов по запросу Заказчика.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72" w:type="dxa"/>
            <w:tcBorders/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за выполнение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выполнять принятые на себя обязательства и нести ответственность за выполнение услуг, предусмотренную законодательством Российской Федерации.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/>
                <w:b w:val="false"/>
                <w:bCs/>
                <w:lang w:val="ru-RU" w:eastAsia="ru-RU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</w:r>
          </w:p>
        </w:tc>
      </w:tr>
    </w:tbl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sectPr>
          <w:headerReference w:type="default" r:id="rId3"/>
          <w:headerReference w:type="first" r:id="rId4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8192"/>
        </w:sectPr>
        <w:pStyle w:val="Normal"/>
        <w:rPr>
          <w:b/>
        </w:rPr>
      </w:pPr>
      <w:r>
        <w:rPr>
          <w:b/>
        </w:rPr>
      </w:r>
    </w:p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rFonts w:ascii="Times New Roman" w:hAnsi="Times New Roman"/>
        </w:rPr>
      </w:pPr>
      <w:bookmarkStart w:id="24" w:name="_Toc51339699"/>
      <w:bookmarkStart w:id="25" w:name="_Toc46743519"/>
      <w:bookmarkEnd w:id="24"/>
      <w:bookmarkEnd w:id="25"/>
      <w:r>
        <w:rPr>
          <w:rFonts w:ascii="Times New Roman" w:hAnsi="Times New Roman"/>
          <w:lang w:val="ru-RU"/>
        </w:rPr>
        <w:t xml:space="preserve">3. </w:t>
      </w:r>
      <w:bookmarkStart w:id="26" w:name="_Toc54643710"/>
      <w:bookmarkStart w:id="27" w:name="_Toc53395937"/>
      <w:bookmarkStart w:id="28" w:name="_Toc53393312"/>
      <w:r>
        <w:rPr>
          <w:rFonts w:ascii="Times New Roman" w:hAnsi="Times New Roman"/>
          <w:lang w:val="ru-RU"/>
        </w:rPr>
        <w:t>Требования к документации по ценообразованию</w:t>
      </w:r>
      <w:bookmarkEnd w:id="27"/>
      <w:bookmarkEnd w:id="28"/>
      <w:r>
        <w:rPr>
          <w:rFonts w:ascii="Times New Roman" w:hAnsi="Times New Roman"/>
          <w:lang w:val="ru-RU"/>
        </w:rPr>
        <w:t xml:space="preserve"> на этапе закупки</w:t>
      </w:r>
      <w:bookmarkEnd w:id="26"/>
    </w:p>
    <w:p>
      <w:pPr>
        <w:pStyle w:val="Normal"/>
        <w:ind w:left="357" w:hanging="357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ab/>
        <w:t xml:space="preserve">3.1. Коммерческое предложение должно быть предоставлено на </w:t>
      </w:r>
      <w:r>
        <w:rPr>
          <w:rFonts w:ascii="Times New Roman" w:hAnsi="Times New Roman"/>
          <w:color w:val="000000"/>
        </w:rPr>
        <w:t>начальную (максимальную) цену по лоту</w:t>
      </w:r>
      <w:r>
        <w:rPr>
          <w:rFonts w:ascii="Times New Roman" w:hAnsi="Times New Roman"/>
          <w:bCs/>
        </w:rPr>
        <w:t xml:space="preserve">. 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x-none"/>
        </w:rPr>
        <w:tab/>
        <w:t>3.2. В стоимость услуг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x-none"/>
        </w:rPr>
        <w:t>3.3 Общая цена на услуги остается фиксированной на весь срок действия договора и не подлежит изменению.</w:t>
      </w:r>
    </w:p>
    <w:p>
      <w:pPr>
        <w:pStyle w:val="Normal"/>
        <w:ind w:hanging="0"/>
        <w:jc w:val="both"/>
        <w:rPr>
          <w:rFonts w:ascii="Times New Roman" w:hAnsi="Times New Roman"/>
          <w:b/>
          <w:bCs/>
          <w:sz w:val="24"/>
          <w:szCs w:val="24"/>
          <w:lang w:val="ru-RU" w:eastAsia="x-none"/>
        </w:rPr>
      </w:pPr>
      <w:r>
        <w:rPr>
          <w:rFonts w:ascii="Times New Roman" w:hAnsi="Times New Roman"/>
          <w:b/>
          <w:bCs/>
          <w:sz w:val="24"/>
          <w:szCs w:val="24"/>
          <w:lang w:val="ru-RU" w:eastAsia="x-none"/>
        </w:rPr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ru-RU"/>
        </w:rPr>
        <w:t xml:space="preserve">4.  </w:t>
      </w:r>
      <w:bookmarkStart w:id="29" w:name="_Toc54643711"/>
      <w:bookmarkStart w:id="30" w:name="_Toc54281228"/>
      <w:r>
        <w:rPr>
          <w:rFonts w:ascii="Times New Roman" w:hAnsi="Times New Roman"/>
          <w:b/>
          <w:bCs/>
          <w:lang w:val="ru-RU"/>
        </w:rPr>
        <w:t>Требования к документации по ценообразованию на этапе заключения (исполнения) договора</w:t>
      </w:r>
      <w:bookmarkEnd w:id="29"/>
      <w:bookmarkEnd w:id="30"/>
    </w:p>
    <w:p>
      <w:pPr>
        <w:pStyle w:val="Normal"/>
        <w:ind w:hanging="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</w:r>
    </w:p>
    <w:p>
      <w:pPr>
        <w:pStyle w:val="Normal"/>
        <w:numPr>
          <w:ilvl w:val="1"/>
          <w:numId w:val="8"/>
        </w:numPr>
        <w:spacing w:before="0" w:after="12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iCs/>
          <w:sz w:val="24"/>
          <w:szCs w:val="24"/>
          <w:lang w:val="x-none" w:eastAsia="x-none"/>
        </w:rPr>
        <w:t>Оплата по безналичному расчету путем перечисления денежных средств на расчетный счет.</w:t>
      </w:r>
    </w:p>
    <w:p>
      <w:pPr>
        <w:pStyle w:val="Normal"/>
        <w:spacing w:before="0" w:after="120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>
        <w:rPr>
          <w:rFonts w:ascii="Times New Roman" w:hAnsi="Times New Roman"/>
          <w:iCs/>
          <w:sz w:val="24"/>
          <w:szCs w:val="24"/>
          <w:lang w:eastAsia="x-none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Cs/>
          <w:color w:val="000000" w:themeColor="text1"/>
        </w:rPr>
        <w:t xml:space="preserve">Заведующий медицинской группой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Cs/>
          <w:color w:val="000000" w:themeColor="text1"/>
        </w:rPr>
        <w:t xml:space="preserve">Саяно-Шушенского филиала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Cs/>
          <w:color w:val="000000" w:themeColor="text1"/>
        </w:rPr>
        <w:t>АО "ТК РусГидро"</w:t>
        <w:tab/>
        <w:tab/>
        <w:t xml:space="preserve">                                                           А.В. Закутский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259" w:before="0" w:after="160"/>
        <w:rPr>
          <w:rFonts w:ascii="Times New Roman" w:hAnsi="Times New Roman"/>
        </w:rPr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6"/>
    <w:lvlOverride w:ilvl="0">
      <w:startOverride w:val="4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e3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paragraph" w:styleId="Heading1">
    <w:name w:val="Heading 1"/>
    <w:basedOn w:val="Heading3"/>
    <w:next w:val="Normal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pPr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сноски Знак"/>
    <w:basedOn w:val="DefaultParagraphFont"/>
    <w:qFormat/>
    <w:rsid w:val="00342e3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342e33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5a1031"/>
    <w:rPr>
      <w:rFonts w:ascii="Segoe UI" w:hAnsi="Segoe UI" w:eastAsia="Courier New" w:cs="Segoe UI"/>
      <w:color w:val="000000"/>
      <w:sz w:val="18"/>
      <w:szCs w:val="18"/>
      <w:lang w:eastAsia="ru-RU" w:bidi="ru-RU"/>
    </w:rPr>
  </w:style>
  <w:style w:type="character" w:styleId="Hyperlink">
    <w:name w:val="Hyperlink"/>
    <w:rPr>
      <w:color w:val="000080"/>
      <w:u w:val="single"/>
    </w:rPr>
  </w:style>
  <w:style w:type="character" w:styleId="Style7">
    <w:name w:val="Ссылка указателя"/>
    <w:qFormat/>
    <w:rPr/>
  </w:style>
  <w:style w:type="character" w:styleId="Style8">
    <w:name w:val="комментарий"/>
    <w:qFormat/>
    <w:rPr>
      <w:b/>
      <w:i/>
      <w:shd w:fill="FFFF99" w:val="clear"/>
    </w:rPr>
  </w:style>
  <w:style w:type="character" w:styleId="Strong">
    <w:name w:val="Strong"/>
    <w:qFormat/>
    <w:rPr>
      <w:b/>
      <w:bCs/>
    </w:rPr>
  </w:style>
  <w:style w:type="character" w:styleId="Blk">
    <w:name w:val="blk"/>
    <w:qFormat/>
    <w:rPr/>
  </w:style>
  <w:style w:type="character" w:styleId="Apple-converted-space">
    <w:name w:val="apple-converted-space"/>
    <w:basedOn w:val="DefaultParagraphFont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FootnoteText">
    <w:name w:val="Footnote Text"/>
    <w:basedOn w:val="Normal"/>
    <w:link w:val="Style5"/>
    <w:qFormat/>
    <w:rsid w:val="00342e33"/>
    <w:pPr>
      <w:widowControl/>
      <w:spacing w:before="0" w:after="60"/>
      <w:jc w:val="both"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paragraph" w:styleId="BodyText2">
    <w:name w:val="Body Text 2"/>
    <w:basedOn w:val="Normal"/>
    <w:link w:val="2"/>
    <w:qFormat/>
    <w:rsid w:val="00342e33"/>
    <w:pPr>
      <w:widowControl/>
      <w:jc w:val="both"/>
    </w:pPr>
    <w:rPr>
      <w:rFonts w:ascii="Times New Roman" w:hAnsi="Times New Roman" w:eastAsia="Times New Roman" w:cs="Times New Roman"/>
      <w:color w:val="auto"/>
      <w:szCs w:val="20"/>
      <w:lang w:bidi="ar-SA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5a1031"/>
    <w:pPr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TOC3">
    <w:name w:val="TOC 3"/>
    <w:basedOn w:val="Normal"/>
    <w:next w:val="Normal"/>
    <w:pPr>
      <w:ind w:left="280" w:hanging="0"/>
    </w:pPr>
    <w:rPr>
      <w:rFonts w:cs="Calibri" w:cstheme="minorHAnsi"/>
      <w:sz w:val="20"/>
      <w:szCs w:val="20"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paragraph" w:styleId="Style14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1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51">
    <w:name w:val="Style5"/>
    <w:basedOn w:val="Normal"/>
    <w:qFormat/>
    <w:pPr>
      <w:widowControl w:val="false"/>
      <w:spacing w:lineRule="exact" w:line="232"/>
      <w:ind w:firstLine="672"/>
      <w:jc w:val="both"/>
    </w:pPr>
    <w:rPr>
      <w:sz w:val="24"/>
      <w:szCs w:val="24"/>
    </w:rPr>
  </w:style>
  <w:style w:type="paragraph" w:styleId="1">
    <w:name w:val="Стиль Заголовок 1 + по ширине"/>
    <w:basedOn w:val="Heading1"/>
    <w:qFormat/>
    <w:pPr>
      <w:numPr>
        <w:ilvl w:val="0"/>
        <w:numId w:val="1"/>
      </w:numPr>
      <w:spacing w:before="480" w:after="240"/>
      <w:ind w:left="720" w:right="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35FB0-3CB0-4989-8213-95BD665D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AlterOffice/3.4.0.9$Linux_X86_64 LibreOffice_project/b8daf9e823b1a5463a2f48435ddc2e8696e7d4fc</Application>
  <AppVersion>15.0000</AppVersion>
  <Pages>10</Pages>
  <Words>1342</Words>
  <Characters>9353</Characters>
  <CharactersWithSpaces>10878</CharactersWithSpaces>
  <Paragraphs>280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2021-12-09T12:46:00Z</dcterms:created>
  <dc:creator>1</dc:creator>
  <dc:description/>
  <dc:language>ru-RU</dc:language>
  <cp:lastModifiedBy>kononkovas@corp.gidroogk.com</cp:lastModifiedBy>
  <cp:lastPrinted>2021-12-13T09:25:00Z</cp:lastPrinted>
  <dcterms:modified xsi:type="dcterms:W3CDTF">2026-06-08T14:59:54Z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