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9D704" w14:textId="77777777" w:rsidR="00DB0C16" w:rsidRPr="00DB0C16" w:rsidRDefault="00FC61E4" w:rsidP="00DB0C16">
      <w:pPr>
        <w:tabs>
          <w:tab w:val="left" w:pos="3686"/>
          <w:tab w:val="left" w:pos="5529"/>
          <w:tab w:val="left" w:pos="5812"/>
        </w:tabs>
        <w:spacing w:before="0" w:after="0"/>
        <w:ind w:left="5670" w:firstLine="0"/>
        <w:jc w:val="left"/>
        <w:rPr>
          <w:szCs w:val="28"/>
        </w:rPr>
      </w:pPr>
      <w:r>
        <w:rPr>
          <w:szCs w:val="28"/>
        </w:rPr>
        <w:t xml:space="preserve">Приложение № 1 </w:t>
      </w:r>
      <w:r w:rsidR="00DB0C16" w:rsidRPr="00DB0C16">
        <w:rPr>
          <w:szCs w:val="28"/>
        </w:rPr>
        <w:t>к Техническому заданию</w:t>
      </w:r>
    </w:p>
    <w:p w14:paraId="7D2A9841" w14:textId="77777777" w:rsidR="00DB0C16" w:rsidRPr="00DB0C16" w:rsidRDefault="00DB0C16" w:rsidP="00DB0C16">
      <w:pPr>
        <w:tabs>
          <w:tab w:val="left" w:pos="3686"/>
          <w:tab w:val="left" w:pos="5529"/>
          <w:tab w:val="left" w:pos="5812"/>
        </w:tabs>
        <w:spacing w:before="0" w:after="0"/>
        <w:ind w:left="5670" w:firstLine="0"/>
        <w:jc w:val="left"/>
        <w:rPr>
          <w:szCs w:val="28"/>
        </w:rPr>
      </w:pPr>
      <w:r w:rsidRPr="00DB0C16">
        <w:rPr>
          <w:szCs w:val="28"/>
        </w:rPr>
        <w:t xml:space="preserve">на выполнение работ по созданию автоматизированной информационной системы для управления денежными средствами </w:t>
      </w:r>
    </w:p>
    <w:p w14:paraId="2C41B5F8" w14:textId="661FF3B7" w:rsidR="00FC61E4" w:rsidRPr="009B18C6" w:rsidRDefault="00DB0C16" w:rsidP="00DB0C16">
      <w:pPr>
        <w:tabs>
          <w:tab w:val="left" w:pos="3686"/>
          <w:tab w:val="left" w:pos="5529"/>
          <w:tab w:val="left" w:pos="5812"/>
        </w:tabs>
        <w:spacing w:before="0" w:after="0"/>
        <w:ind w:left="5670" w:firstLine="0"/>
        <w:jc w:val="left"/>
        <w:rPr>
          <w:szCs w:val="28"/>
        </w:rPr>
      </w:pPr>
      <w:r w:rsidRPr="00DB0C16">
        <w:rPr>
          <w:szCs w:val="28"/>
        </w:rPr>
        <w:t>АО «Почта России»</w:t>
      </w:r>
      <w:bookmarkStart w:id="0" w:name="_GoBack"/>
      <w:bookmarkEnd w:id="0"/>
    </w:p>
    <w:p w14:paraId="4BFBD2E6" w14:textId="77777777" w:rsidR="00621F33" w:rsidRPr="002D33F2" w:rsidRDefault="00621F33" w:rsidP="008B58B5">
      <w:pPr>
        <w:spacing w:before="0" w:after="0" w:line="276" w:lineRule="auto"/>
        <w:rPr>
          <w:color w:val="000000" w:themeColor="text1"/>
        </w:rPr>
      </w:pPr>
    </w:p>
    <w:p w14:paraId="16D68E82" w14:textId="77777777" w:rsidR="00621F33" w:rsidRPr="000F0DC6" w:rsidRDefault="00621F33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4025D99C" w14:textId="77777777" w:rsidR="00621F33" w:rsidRPr="000F0DC6" w:rsidRDefault="00621F33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0719FAFC" w14:textId="77777777" w:rsidR="00621F33" w:rsidRPr="000F0DC6" w:rsidRDefault="00621F33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0ABE49B3" w14:textId="77777777" w:rsidR="00621F33" w:rsidRPr="000F0DC6" w:rsidRDefault="00621F33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411E1BB0" w14:textId="77777777" w:rsidR="008D5CC9" w:rsidRPr="000F0DC6" w:rsidRDefault="008D5CC9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3B19099A" w14:textId="77777777" w:rsidR="008D5CC9" w:rsidRPr="000F0DC6" w:rsidRDefault="008D5CC9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4A922A8B" w14:textId="77777777" w:rsidR="008D5CC9" w:rsidRPr="000F0DC6" w:rsidRDefault="008D5CC9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6476E8EA" w14:textId="77777777" w:rsidR="008D5CC9" w:rsidRPr="000F0DC6" w:rsidRDefault="008D5CC9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40D251B8" w14:textId="39EF80C8" w:rsidR="008D5CC9" w:rsidRDefault="008D5CC9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342C5425" w14:textId="41155885" w:rsidR="00387A88" w:rsidRDefault="00387A88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6AF1CA0B" w14:textId="06CB5A18" w:rsidR="00387A88" w:rsidRDefault="00387A88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424C0F47" w14:textId="6DB901DA" w:rsidR="00387A88" w:rsidRDefault="00387A88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6D88EE8B" w14:textId="017577A8" w:rsidR="00387A88" w:rsidRDefault="00387A88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127C221B" w14:textId="275D3032" w:rsidR="00387A88" w:rsidRDefault="00387A88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3D0EB0ED" w14:textId="43D7C4A3" w:rsidR="00387A88" w:rsidRDefault="00387A88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479F8C79" w14:textId="77777777" w:rsidR="00387A88" w:rsidRPr="000F0DC6" w:rsidRDefault="00387A88" w:rsidP="008B58B5">
      <w:pPr>
        <w:spacing w:before="0" w:after="0" w:line="276" w:lineRule="auto"/>
        <w:jc w:val="center"/>
        <w:rPr>
          <w:color w:val="000000" w:themeColor="text1"/>
        </w:rPr>
      </w:pPr>
    </w:p>
    <w:p w14:paraId="5F95CB38" w14:textId="77777777" w:rsidR="008D5CC9" w:rsidRPr="000F0DC6" w:rsidRDefault="008D5CC9" w:rsidP="008B58B5">
      <w:pPr>
        <w:spacing w:before="0" w:after="0" w:line="276" w:lineRule="auto"/>
        <w:jc w:val="center"/>
        <w:rPr>
          <w:color w:val="000000" w:themeColor="text1"/>
          <w:sz w:val="36"/>
          <w:szCs w:val="36"/>
        </w:rPr>
      </w:pPr>
    </w:p>
    <w:p w14:paraId="02C4C707" w14:textId="77777777" w:rsidR="00387A88" w:rsidRPr="00387A88" w:rsidRDefault="00387A88" w:rsidP="008B58B5">
      <w:pPr>
        <w:spacing w:before="0" w:after="0" w:line="276" w:lineRule="auto"/>
        <w:ind w:firstLine="0"/>
        <w:jc w:val="center"/>
        <w:rPr>
          <w:color w:val="000000" w:themeColor="text1"/>
          <w:sz w:val="36"/>
          <w:szCs w:val="40"/>
        </w:rPr>
      </w:pPr>
      <w:r w:rsidRPr="00387A88">
        <w:rPr>
          <w:color w:val="000000" w:themeColor="text1"/>
          <w:sz w:val="36"/>
          <w:szCs w:val="40"/>
        </w:rPr>
        <w:t xml:space="preserve">МЕТОДИЧЕСКИЕ РЕКОМЕНДАЦИИ </w:t>
      </w:r>
    </w:p>
    <w:p w14:paraId="10A21936" w14:textId="464F8F1D" w:rsidR="005A450D" w:rsidRDefault="00387A88" w:rsidP="008B58B5">
      <w:pPr>
        <w:spacing w:before="0" w:after="0" w:line="276" w:lineRule="auto"/>
        <w:ind w:firstLine="0"/>
        <w:jc w:val="center"/>
        <w:rPr>
          <w:color w:val="000000" w:themeColor="text1"/>
          <w:sz w:val="36"/>
          <w:szCs w:val="40"/>
        </w:rPr>
      </w:pPr>
      <w:r w:rsidRPr="00387A88">
        <w:rPr>
          <w:color w:val="000000" w:themeColor="text1"/>
          <w:sz w:val="36"/>
          <w:szCs w:val="40"/>
        </w:rPr>
        <w:t>по моделированию подпроцессов в АО «Почта России»</w:t>
      </w:r>
    </w:p>
    <w:p w14:paraId="75322B71" w14:textId="77777777" w:rsidR="00387A88" w:rsidRPr="00387A88" w:rsidRDefault="00387A88" w:rsidP="008B58B5">
      <w:pPr>
        <w:spacing w:before="0" w:after="0" w:line="276" w:lineRule="auto"/>
        <w:ind w:firstLine="0"/>
        <w:jc w:val="center"/>
        <w:rPr>
          <w:color w:val="000000" w:themeColor="text1"/>
          <w:sz w:val="36"/>
          <w:szCs w:val="40"/>
        </w:rPr>
      </w:pPr>
    </w:p>
    <w:p w14:paraId="35ADD561" w14:textId="77777777" w:rsidR="005A450D" w:rsidRPr="00076F93" w:rsidRDefault="005A450D" w:rsidP="008B58B5">
      <w:pPr>
        <w:spacing w:before="0" w:after="0" w:line="276" w:lineRule="auto"/>
        <w:ind w:firstLine="0"/>
        <w:jc w:val="left"/>
        <w:rPr>
          <w:color w:val="000000" w:themeColor="text1"/>
        </w:rPr>
      </w:pPr>
      <w:r w:rsidRPr="00076F93">
        <w:rPr>
          <w:color w:val="000000" w:themeColor="text1"/>
        </w:rPr>
        <w:br w:type="page"/>
      </w:r>
    </w:p>
    <w:p w14:paraId="6CA48297" w14:textId="77777777" w:rsidR="00196ED0" w:rsidRPr="00A13F51" w:rsidRDefault="00196ED0" w:rsidP="009D439C">
      <w:pPr>
        <w:pStyle w:val="a3"/>
        <w:numPr>
          <w:ilvl w:val="0"/>
          <w:numId w:val="42"/>
        </w:numPr>
        <w:spacing w:before="0"/>
        <w:ind w:left="357" w:hanging="357"/>
        <w:contextualSpacing w:val="0"/>
        <w:jc w:val="center"/>
        <w:outlineLvl w:val="0"/>
        <w:rPr>
          <w:rFonts w:ascii="Times New Roman" w:hAnsi="Times New Roman" w:cs="Times New Roman"/>
          <w:b/>
          <w:szCs w:val="28"/>
        </w:rPr>
      </w:pPr>
      <w:bookmarkStart w:id="1" w:name="_Toc60070185"/>
      <w:bookmarkStart w:id="2" w:name="_Toc179991524"/>
      <w:r w:rsidRPr="00A13F51">
        <w:rPr>
          <w:rFonts w:ascii="Times New Roman" w:hAnsi="Times New Roman" w:cs="Times New Roman"/>
          <w:b/>
          <w:szCs w:val="28"/>
        </w:rPr>
        <w:lastRenderedPageBreak/>
        <w:t>Общие положения</w:t>
      </w:r>
      <w:bookmarkEnd w:id="1"/>
      <w:bookmarkEnd w:id="2"/>
    </w:p>
    <w:p w14:paraId="7E32D044" w14:textId="77777777" w:rsidR="00196ED0" w:rsidRPr="00A13F51" w:rsidRDefault="00196ED0" w:rsidP="009D439C">
      <w:pPr>
        <w:pStyle w:val="a3"/>
        <w:numPr>
          <w:ilvl w:val="1"/>
          <w:numId w:val="42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Методические рекомендации по моделированию подпроцессов</w:t>
      </w:r>
      <w:r w:rsidRPr="00A13F51">
        <w:rPr>
          <w:rFonts w:ascii="Times New Roman" w:hAnsi="Times New Roman" w:cs="Times New Roman"/>
          <w:szCs w:val="28"/>
        </w:rPr>
        <w:br/>
        <w:t>в АО «Почта России» (далее – Методические рекомендации) разработаны с целью формирования единых принципов и предложений по описанию подпроцессов АО «Почта России».</w:t>
      </w:r>
    </w:p>
    <w:p w14:paraId="7E6CB2D1" w14:textId="77777777" w:rsidR="00196ED0" w:rsidRPr="00A13F51" w:rsidRDefault="00196ED0" w:rsidP="009D439C">
      <w:pPr>
        <w:pStyle w:val="a3"/>
        <w:numPr>
          <w:ilvl w:val="1"/>
          <w:numId w:val="42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Методические рекомендации предоставляют подходы к визуальному описанию подпроцессов.</w:t>
      </w:r>
    </w:p>
    <w:p w14:paraId="2B14EE58" w14:textId="77777777" w:rsidR="00196ED0" w:rsidRPr="00A13F51" w:rsidRDefault="00196ED0" w:rsidP="009D439C">
      <w:pPr>
        <w:pStyle w:val="a3"/>
        <w:numPr>
          <w:ilvl w:val="1"/>
          <w:numId w:val="42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Методические рекомендации рекомендованы к применению при описании и моделировании подпроцессов Аппарата управления Общества, макрорегионов, филиалов и обособленных структурных подразделений</w:t>
      </w:r>
      <w:r w:rsidRPr="00A13F51">
        <w:rPr>
          <w:rFonts w:ascii="Times New Roman" w:hAnsi="Times New Roman" w:cs="Times New Roman"/>
          <w:szCs w:val="28"/>
        </w:rPr>
        <w:br/>
        <w:t>АО «Почта России» (далее – Общество).</w:t>
      </w:r>
    </w:p>
    <w:p w14:paraId="5D086788" w14:textId="77777777" w:rsidR="00196ED0" w:rsidRPr="00A13F51" w:rsidRDefault="00196ED0" w:rsidP="009D439C">
      <w:pPr>
        <w:pStyle w:val="a3"/>
        <w:numPr>
          <w:ilvl w:val="0"/>
          <w:numId w:val="42"/>
        </w:numPr>
        <w:spacing w:before="240"/>
        <w:ind w:left="357" w:hanging="357"/>
        <w:contextualSpacing w:val="0"/>
        <w:jc w:val="center"/>
        <w:outlineLvl w:val="0"/>
        <w:rPr>
          <w:rFonts w:ascii="Times New Roman" w:hAnsi="Times New Roman" w:cs="Times New Roman"/>
          <w:b/>
          <w:szCs w:val="28"/>
        </w:rPr>
      </w:pPr>
      <w:bookmarkStart w:id="3" w:name="_Toc60070186"/>
      <w:bookmarkStart w:id="4" w:name="_Toc179991525"/>
      <w:r w:rsidRPr="00A13F51">
        <w:rPr>
          <w:rFonts w:ascii="Times New Roman" w:hAnsi="Times New Roman" w:cs="Times New Roman"/>
          <w:b/>
          <w:szCs w:val="28"/>
        </w:rPr>
        <w:t>Термины и определения</w:t>
      </w:r>
      <w:bookmarkEnd w:id="3"/>
      <w:bookmarkEnd w:id="4"/>
    </w:p>
    <w:p w14:paraId="2678A3C6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В рамках настоящих Методических рекомендаций используются следующие термины и определения:</w:t>
      </w:r>
    </w:p>
    <w:p w14:paraId="7D2FB4D3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 xml:space="preserve">Владелец подпроцесса </w:t>
      </w:r>
      <w:r w:rsidRPr="00A13F51">
        <w:rPr>
          <w:szCs w:val="28"/>
        </w:rPr>
        <w:t>– должностное лицо, отвечающее за организацию, развитие, мониторинг эффективности и результат подпроцесса (по возможности, должностное лицо не ниже руководителя отдела).</w:t>
      </w:r>
    </w:p>
    <w:p w14:paraId="2A38F0F3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b/>
          <w:szCs w:val="28"/>
        </w:rPr>
        <w:t>Действие</w:t>
      </w:r>
      <w:r w:rsidRPr="00A13F51">
        <w:rPr>
          <w:szCs w:val="28"/>
        </w:rPr>
        <w:t xml:space="preserve"> – минимальная единица трудовой деятельности участника подпроцесса, не требующая дальнейшей детализации.</w:t>
      </w:r>
    </w:p>
    <w:p w14:paraId="65805C23" w14:textId="5D5DBB05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>Карта подпроцесса</w:t>
      </w:r>
      <w:r w:rsidRPr="00A13F51">
        <w:rPr>
          <w:szCs w:val="28"/>
        </w:rPr>
        <w:t xml:space="preserve"> – документ, включающий в себя заголовок карты, схему подпроцесса, информацию о ролях и этапах в подпроцессе. Карта подпроцесса создается при помощи </w:t>
      </w:r>
      <w:r w:rsidRPr="00A13F51">
        <w:rPr>
          <w:szCs w:val="28"/>
          <w:lang w:val="en-US"/>
        </w:rPr>
        <w:t>Microsoft</w:t>
      </w:r>
      <w:r w:rsidRPr="00A13F51">
        <w:rPr>
          <w:szCs w:val="28"/>
        </w:rPr>
        <w:t xml:space="preserve"> </w:t>
      </w:r>
      <w:r w:rsidRPr="00A13F51">
        <w:rPr>
          <w:szCs w:val="28"/>
          <w:lang w:val="en-US"/>
        </w:rPr>
        <w:t>Visio</w:t>
      </w:r>
      <w:r w:rsidRPr="00A13F51">
        <w:rPr>
          <w:rStyle w:val="afd"/>
          <w:szCs w:val="28"/>
        </w:rPr>
        <w:footnoteReference w:id="1"/>
      </w:r>
      <w:r w:rsidRPr="00A13F51">
        <w:rPr>
          <w:szCs w:val="28"/>
        </w:rPr>
        <w:t xml:space="preserve"> (приложение № 1</w:t>
      </w:r>
      <w:r w:rsidR="00D71A3A">
        <w:rPr>
          <w:szCs w:val="28"/>
        </w:rPr>
        <w:t>.1</w:t>
      </w:r>
      <w:r w:rsidRPr="00A13F51">
        <w:rPr>
          <w:szCs w:val="28"/>
        </w:rPr>
        <w:t>).</w:t>
      </w:r>
    </w:p>
    <w:p w14:paraId="085B9DF5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>Нотация</w:t>
      </w:r>
      <w:r w:rsidRPr="00A13F51">
        <w:rPr>
          <w:szCs w:val="28"/>
        </w:rPr>
        <w:t xml:space="preserve"> – набор графических изображений (элементов), используемый для визуального представления подпроцесса и содержащий указания по их применению.</w:t>
      </w:r>
    </w:p>
    <w:p w14:paraId="3DC7816B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b/>
          <w:szCs w:val="28"/>
        </w:rPr>
        <w:t>Операция</w:t>
      </w:r>
      <w:r w:rsidRPr="00A13F51">
        <w:rPr>
          <w:szCs w:val="28"/>
        </w:rPr>
        <w:t xml:space="preserve"> – последовательность действий, осуществляемых участником подпроцесса и направленных на достижение конкретного результата.</w:t>
      </w:r>
    </w:p>
    <w:p w14:paraId="29BCAF4D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b/>
          <w:szCs w:val="28"/>
        </w:rPr>
        <w:t>Продукт</w:t>
      </w:r>
      <w:r w:rsidRPr="00A13F51">
        <w:rPr>
          <w:szCs w:val="28"/>
        </w:rPr>
        <w:t xml:space="preserve"> – товар, услуга или сервис, разработанные в целях извлечения прибыли, повышения спроса и конкурентных преимуществ АО «Почта России» и/или соответствия деятельности Общества законодательству Российской Федерации.</w:t>
      </w:r>
    </w:p>
    <w:p w14:paraId="469DF71C" w14:textId="77777777" w:rsidR="00196ED0" w:rsidRPr="00A13F51" w:rsidRDefault="00196ED0" w:rsidP="00196ED0">
      <w:pPr>
        <w:rPr>
          <w:b/>
          <w:szCs w:val="28"/>
        </w:rPr>
      </w:pPr>
      <w:r w:rsidRPr="00A13F51">
        <w:rPr>
          <w:b/>
          <w:szCs w:val="28"/>
        </w:rPr>
        <w:t xml:space="preserve">Процесс </w:t>
      </w:r>
      <w:r w:rsidRPr="00A13F51">
        <w:rPr>
          <w:szCs w:val="28"/>
        </w:rPr>
        <w:t>– совокупность всех взаимосвязанных подпроцессов, инициируемых определенным событием и нацеленных на достижение конкретного результата (создание продукта, оказание услуги, утверждение документа и др.).</w:t>
      </w:r>
    </w:p>
    <w:p w14:paraId="351DDAB8" w14:textId="77777777" w:rsidR="00196ED0" w:rsidRPr="00A13F51" w:rsidRDefault="00196ED0" w:rsidP="00196ED0">
      <w:pPr>
        <w:rPr>
          <w:b/>
          <w:szCs w:val="28"/>
        </w:rPr>
      </w:pPr>
      <w:r w:rsidRPr="00A13F51">
        <w:rPr>
          <w:b/>
          <w:szCs w:val="28"/>
        </w:rPr>
        <w:t>Подпроцесс</w:t>
      </w:r>
      <w:r w:rsidRPr="00A13F51">
        <w:rPr>
          <w:szCs w:val="28"/>
        </w:rPr>
        <w:t xml:space="preserve"> – совокупность взаимосвязанных операций, инициируемых определенным событием и нацеленных на достижение конкретного результата (оказание услуги, утверждение документа и др.).</w:t>
      </w:r>
    </w:p>
    <w:p w14:paraId="555C8DBF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b/>
          <w:szCs w:val="28"/>
        </w:rPr>
        <w:t xml:space="preserve">Процессная иерархия </w:t>
      </w:r>
      <w:r w:rsidRPr="00A13F51">
        <w:rPr>
          <w:szCs w:val="28"/>
        </w:rPr>
        <w:t>– иерархия, определяющая взаимосвязи между направлением деятельности, процессами и подпроцессами, операциями и действиями.</w:t>
      </w:r>
    </w:p>
    <w:p w14:paraId="5AB6CE79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b/>
          <w:szCs w:val="28"/>
        </w:rPr>
        <w:t>Репозиторий подпроцессов</w:t>
      </w:r>
      <w:r w:rsidRPr="00A13F51">
        <w:rPr>
          <w:szCs w:val="28"/>
        </w:rPr>
        <w:t xml:space="preserve"> – реестр, содержащий процессную иерархию, основную информацию о картах подпроцессов и взаимосвязях между ними. </w:t>
      </w:r>
    </w:p>
    <w:p w14:paraId="321BDBFD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>Роль</w:t>
      </w:r>
      <w:r w:rsidRPr="00A13F51">
        <w:rPr>
          <w:szCs w:val="28"/>
        </w:rPr>
        <w:t xml:space="preserve"> </w:t>
      </w:r>
      <w:r w:rsidRPr="00A13F51">
        <w:rPr>
          <w:b/>
          <w:i/>
          <w:szCs w:val="28"/>
        </w:rPr>
        <w:t>–</w:t>
      </w:r>
      <w:r w:rsidRPr="00A13F51">
        <w:rPr>
          <w:szCs w:val="28"/>
        </w:rPr>
        <w:t xml:space="preserve"> совокупность обязанностей и операций, выполнение которых закрепляется за соответствующим участником подпроцесса согласно внутренними документами Общества, регламентирующим подпроцесс.</w:t>
      </w:r>
    </w:p>
    <w:p w14:paraId="71D33F31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lastRenderedPageBreak/>
        <w:t>Свернутый подпроцесс</w:t>
      </w:r>
      <w:r w:rsidRPr="00A13F51">
        <w:rPr>
          <w:szCs w:val="28"/>
        </w:rPr>
        <w:t xml:space="preserve"> – самостоятельный подпроцесс, описанный в одной карте и целиком использованный в рамках описания другого подпроцесса.</w:t>
      </w:r>
    </w:p>
    <w:p w14:paraId="502C232D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 xml:space="preserve">Схема подпроцесса </w:t>
      </w:r>
      <w:r w:rsidRPr="00A13F51">
        <w:rPr>
          <w:szCs w:val="28"/>
        </w:rPr>
        <w:t>– визуальное представление подпроцесса, отображающее последовательность операций и границы подпроцесса. Схема подпроцесса непрерывна и каждый ее элемент связан как минимум с еще одним элементом.</w:t>
      </w:r>
    </w:p>
    <w:p w14:paraId="484E503C" w14:textId="77777777" w:rsidR="00196ED0" w:rsidRPr="00A13F51" w:rsidRDefault="00196ED0" w:rsidP="00196ED0">
      <w:pPr>
        <w:rPr>
          <w:sz w:val="22"/>
        </w:rPr>
      </w:pPr>
      <w:r w:rsidRPr="00A13F51">
        <w:rPr>
          <w:b/>
        </w:rPr>
        <w:t>Участник</w:t>
      </w:r>
      <w:r w:rsidRPr="00A13F51">
        <w:t xml:space="preserve"> </w:t>
      </w:r>
      <w:r w:rsidRPr="00A13F51">
        <w:rPr>
          <w:szCs w:val="28"/>
        </w:rPr>
        <w:t>– это сотрудник или подразделение, ответственное за выполнение одной и более операций в подпроцессе.</w:t>
      </w:r>
    </w:p>
    <w:p w14:paraId="7F68F44C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b/>
          <w:szCs w:val="28"/>
        </w:rPr>
        <w:t>Чистое время</w:t>
      </w:r>
      <w:r w:rsidRPr="00A13F51">
        <w:rPr>
          <w:szCs w:val="28"/>
        </w:rPr>
        <w:t xml:space="preserve"> – время, затрачиваемое на выполнение операции без учета ожиданий информационных систем и простоев участников подпроцесса.</w:t>
      </w:r>
    </w:p>
    <w:p w14:paraId="7870F407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b/>
          <w:szCs w:val="28"/>
        </w:rPr>
        <w:t>RPA (Robotic Process Automation)</w:t>
      </w:r>
      <w:r w:rsidRPr="00A13F51">
        <w:rPr>
          <w:szCs w:val="28"/>
        </w:rPr>
        <w:t xml:space="preserve"> – автоматизация повторяющихся подпроцессов путем установки программного обеспечения (ПО), которое при помощи пользовательских интерфейсов работает с приложениями и компонентами «поверх» основной ИТ-архитектуры, реплицируя действия, которые традиционно осуществляются человеком.</w:t>
      </w:r>
    </w:p>
    <w:p w14:paraId="204EAA74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</w:p>
    <w:p w14:paraId="04EDEC00" w14:textId="77777777" w:rsidR="00196ED0" w:rsidRPr="00A13F51" w:rsidRDefault="00196ED0" w:rsidP="009D439C">
      <w:pPr>
        <w:pStyle w:val="a3"/>
        <w:numPr>
          <w:ilvl w:val="0"/>
          <w:numId w:val="42"/>
        </w:numPr>
        <w:autoSpaceDE w:val="0"/>
        <w:autoSpaceDN w:val="0"/>
        <w:adjustRightInd w:val="0"/>
        <w:spacing w:before="0" w:after="0"/>
        <w:ind w:left="-1560" w:hanging="11"/>
        <w:jc w:val="center"/>
        <w:outlineLvl w:val="0"/>
        <w:rPr>
          <w:rFonts w:ascii="Times New Roman" w:hAnsi="Times New Roman" w:cs="Times New Roman"/>
          <w:b/>
          <w:szCs w:val="28"/>
        </w:rPr>
      </w:pPr>
      <w:bookmarkStart w:id="5" w:name="_Toc60070187"/>
      <w:bookmarkStart w:id="6" w:name="_Toc179991526"/>
      <w:r w:rsidRPr="00A13F51">
        <w:rPr>
          <w:rFonts w:ascii="Times New Roman" w:hAnsi="Times New Roman" w:cs="Times New Roman"/>
          <w:b/>
          <w:szCs w:val="28"/>
        </w:rPr>
        <w:t>Процессная иерархия</w:t>
      </w:r>
      <w:bookmarkEnd w:id="5"/>
      <w:bookmarkEnd w:id="6"/>
    </w:p>
    <w:p w14:paraId="368376E5" w14:textId="77777777" w:rsidR="00196ED0" w:rsidRPr="00A13F51" w:rsidRDefault="00196ED0" w:rsidP="00196ED0">
      <w:pPr>
        <w:rPr>
          <w:sz w:val="22"/>
        </w:rPr>
      </w:pPr>
    </w:p>
    <w:p w14:paraId="6C750030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 xml:space="preserve">Процессная иерархия Общества формируется из пяти уровней декомпозиции, начиная с первого уровня, отражающего основные направления деятельности Общества и заканчивая пятым уровнем – действие: </w:t>
      </w:r>
    </w:p>
    <w:p w14:paraId="5F9518D6" w14:textId="77777777" w:rsidR="00196ED0" w:rsidRPr="00A13F51" w:rsidRDefault="00196ED0" w:rsidP="00196ED0">
      <w:pPr>
        <w:rPr>
          <w:b/>
          <w:szCs w:val="28"/>
        </w:rPr>
      </w:pPr>
    </w:p>
    <w:p w14:paraId="75E6BD0E" w14:textId="77777777" w:rsidR="00196ED0" w:rsidRPr="00A13F51" w:rsidRDefault="00196ED0" w:rsidP="00196ED0">
      <w:pPr>
        <w:rPr>
          <w:b/>
          <w:szCs w:val="28"/>
        </w:rPr>
      </w:pPr>
      <w:r w:rsidRPr="00A13F51">
        <w:rPr>
          <w:b/>
          <w:szCs w:val="28"/>
        </w:rPr>
        <w:t>Уровень № 1 «Направление деятельности»</w:t>
      </w:r>
    </w:p>
    <w:p w14:paraId="2FEFB0D5" w14:textId="77777777" w:rsidR="00196ED0" w:rsidRPr="00A13F51" w:rsidRDefault="00196ED0" w:rsidP="00196ED0">
      <w:pPr>
        <w:rPr>
          <w:b/>
          <w:szCs w:val="28"/>
        </w:rPr>
      </w:pPr>
      <w:r w:rsidRPr="00A13F51">
        <w:rPr>
          <w:b/>
          <w:i/>
          <w:szCs w:val="28"/>
        </w:rPr>
        <w:t xml:space="preserve">Описание: </w:t>
      </w:r>
    </w:p>
    <w:p w14:paraId="195FA0D7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Отражает основное направление деятельности, в рамках которого происходит курирование процессов, реализуемых на более низких уровнях.</w:t>
      </w:r>
    </w:p>
    <w:p w14:paraId="04AA1A32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Определение:</w:t>
      </w:r>
    </w:p>
    <w:p w14:paraId="0CBBAB96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>Направление деятельности</w:t>
      </w:r>
      <w:r w:rsidRPr="00A13F51">
        <w:rPr>
          <w:szCs w:val="28"/>
        </w:rPr>
        <w:t xml:space="preserve"> – группа процессов, описывающих создание продукта и услуги (внешних и внутренних), объединённых одним общим направлением.</w:t>
      </w:r>
    </w:p>
    <w:p w14:paraId="16B24E8B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Уровень владения:</w:t>
      </w:r>
    </w:p>
    <w:p w14:paraId="517BF50D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Владельцем направления деятельности рекомендуется назначать заместителя генерального директора.</w:t>
      </w:r>
    </w:p>
    <w:p w14:paraId="1B74C34D" w14:textId="77777777" w:rsidR="00196ED0" w:rsidRPr="00A13F51" w:rsidRDefault="00196ED0" w:rsidP="00196ED0">
      <w:pPr>
        <w:rPr>
          <w:b/>
          <w:szCs w:val="28"/>
        </w:rPr>
      </w:pPr>
      <w:r w:rsidRPr="00A13F51">
        <w:rPr>
          <w:noProof/>
          <w:sz w:val="22"/>
        </w:rPr>
        <w:lastRenderedPageBreak/>
        <w:drawing>
          <wp:anchor distT="0" distB="0" distL="114300" distR="114300" simplePos="0" relativeHeight="251687936" behindDoc="1" locked="0" layoutInCell="1" allowOverlap="1" wp14:anchorId="66246F83" wp14:editId="1ED6CFA1">
            <wp:simplePos x="0" y="0"/>
            <wp:positionH relativeFrom="margin">
              <wp:posOffset>2661920</wp:posOffset>
            </wp:positionH>
            <wp:positionV relativeFrom="paragraph">
              <wp:posOffset>29845</wp:posOffset>
            </wp:positionV>
            <wp:extent cx="3519170" cy="4502150"/>
            <wp:effectExtent l="19050" t="19050" r="24130" b="127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3519170" cy="45021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F51">
        <w:rPr>
          <w:b/>
          <w:szCs w:val="28"/>
        </w:rPr>
        <w:t>Уровень № 2 «Процесс»</w:t>
      </w:r>
    </w:p>
    <w:p w14:paraId="697510B3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 xml:space="preserve">Описание: </w:t>
      </w:r>
    </w:p>
    <w:p w14:paraId="4B0E97EA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Определение процесса происходит посредством декомпозиции направления деятельности (уровень 1) по принципу выделения основных продуктов, услуг, сервисов, оказываемых в рамках направления. Для каждого продукта, услуги или сервиса возможно выделить направление, состоящее из совокупности связанных процессов, описывающих весь путь продукта, услуги, сервиса внутри Общества.</w:t>
      </w:r>
    </w:p>
    <w:p w14:paraId="09E6D3A3" w14:textId="77777777" w:rsidR="00196ED0" w:rsidRPr="00A13F51" w:rsidRDefault="00196ED0" w:rsidP="00196ED0">
      <w:pPr>
        <w:rPr>
          <w:szCs w:val="28"/>
        </w:rPr>
      </w:pPr>
    </w:p>
    <w:p w14:paraId="7751CFB4" w14:textId="3C21C1B4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Для визуализации процесса формируется схема, представляющая собой верхнеуровневую последовательность выполняемых подпроцессов.</w:t>
      </w:r>
    </w:p>
    <w:p w14:paraId="189A3523" w14:textId="6A4FAB27" w:rsidR="00196ED0" w:rsidRPr="00A13F51" w:rsidRDefault="00196ED0" w:rsidP="00196ED0">
      <w:pPr>
        <w:rPr>
          <w:b/>
          <w:i/>
          <w:szCs w:val="28"/>
        </w:rPr>
      </w:pPr>
    </w:p>
    <w:p w14:paraId="6EF54638" w14:textId="0D65EA30" w:rsidR="00196ED0" w:rsidRPr="00A13F51" w:rsidRDefault="005A1871" w:rsidP="00196ED0">
      <w:pPr>
        <w:rPr>
          <w:b/>
          <w:i/>
          <w:szCs w:val="28"/>
        </w:rPr>
      </w:pPr>
      <w:r w:rsidRPr="00A13F51">
        <w:rPr>
          <w:b/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E82191" wp14:editId="42191363">
                <wp:simplePos x="0" y="0"/>
                <wp:positionH relativeFrom="margin">
                  <wp:posOffset>3377565</wp:posOffset>
                </wp:positionH>
                <wp:positionV relativeFrom="paragraph">
                  <wp:posOffset>6350</wp:posOffset>
                </wp:positionV>
                <wp:extent cx="2486025" cy="390525"/>
                <wp:effectExtent l="0" t="0" r="0" b="0"/>
                <wp:wrapNone/>
                <wp:docPr id="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41F40F" w14:textId="77777777" w:rsidR="00136C97" w:rsidRDefault="00136C97" w:rsidP="005A1871">
                            <w:pPr>
                              <w:ind w:firstLine="0"/>
                            </w:pPr>
                            <w:r>
                              <w:rPr>
                                <w:i/>
                                <w:szCs w:val="28"/>
                              </w:rPr>
                              <w:t>Рисунок 1 «Процессная иерархия</w:t>
                            </w:r>
                            <w:r w:rsidRPr="00F433CC">
                              <w:rPr>
                                <w:i/>
                                <w:szCs w:val="28"/>
                              </w:rPr>
                              <w:t>»</w:t>
                            </w:r>
                          </w:p>
                          <w:p w14:paraId="463CC1EF" w14:textId="77777777" w:rsidR="00136C97" w:rsidRDefault="00136C97" w:rsidP="00196ED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82191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65.95pt;margin-top:.5pt;width:195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" filled="f" stroked="f">
                <v:textbox>
                  <w:txbxContent>
                    <w:p w14:paraId="5D41F40F" w14:textId="77777777" w:rsidR="00136C97" w:rsidRDefault="00136C97" w:rsidP="005A1871">
                      <w:pPr>
                        <w:ind w:firstLine="0"/>
                      </w:pPr>
                      <w:r>
                        <w:rPr>
                          <w:i/>
                          <w:szCs w:val="28"/>
                        </w:rPr>
                        <w:t>Рисунок 1 «Процессная иерархия</w:t>
                      </w:r>
                      <w:r w:rsidRPr="00F433CC">
                        <w:rPr>
                          <w:i/>
                          <w:szCs w:val="28"/>
                        </w:rPr>
                        <w:t>»</w:t>
                      </w:r>
                    </w:p>
                    <w:p w14:paraId="463CC1EF" w14:textId="77777777" w:rsidR="00136C97" w:rsidRDefault="00136C97" w:rsidP="00196ED0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6ED0" w:rsidRPr="00A13F51">
        <w:rPr>
          <w:b/>
          <w:i/>
          <w:szCs w:val="28"/>
        </w:rPr>
        <w:t>Определение:</w:t>
      </w:r>
    </w:p>
    <w:p w14:paraId="5293CF9F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 xml:space="preserve">Процесс </w:t>
      </w:r>
      <w:r w:rsidRPr="00A13F51">
        <w:rPr>
          <w:szCs w:val="28"/>
        </w:rPr>
        <w:t>– взаимосвязанная последовательность подпроцессов, которые проходит продукт, услуга (внешняя или внутренняя) от первой до финальной точки контакта с Обществом.</w:t>
      </w:r>
      <w:r w:rsidRPr="00A13F51">
        <w:rPr>
          <w:noProof/>
          <w:sz w:val="22"/>
        </w:rPr>
        <w:t xml:space="preserve"> </w:t>
      </w:r>
    </w:p>
    <w:p w14:paraId="0B90FB94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Уровень владения:</w:t>
      </w:r>
    </w:p>
    <w:p w14:paraId="5410170F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Владельцем процесса рекомендуется назначать сотрудника уровнем не ниже руководителя дирекции или департамента.</w:t>
      </w:r>
    </w:p>
    <w:p w14:paraId="0851806E" w14:textId="77777777" w:rsidR="00196ED0" w:rsidRPr="00A13F51" w:rsidRDefault="00196ED0" w:rsidP="00196ED0">
      <w:pPr>
        <w:rPr>
          <w:b/>
          <w:szCs w:val="28"/>
        </w:rPr>
      </w:pPr>
    </w:p>
    <w:p w14:paraId="39B8B79B" w14:textId="77777777" w:rsidR="00196ED0" w:rsidRPr="00A13F51" w:rsidRDefault="00196ED0" w:rsidP="00196ED0">
      <w:pPr>
        <w:rPr>
          <w:b/>
          <w:szCs w:val="28"/>
        </w:rPr>
      </w:pPr>
      <w:r w:rsidRPr="00A13F51">
        <w:rPr>
          <w:b/>
          <w:szCs w:val="28"/>
        </w:rPr>
        <w:t>Уровень № 3 «Подпроцесс»</w:t>
      </w:r>
    </w:p>
    <w:p w14:paraId="7E687F42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 xml:space="preserve">Описание: </w:t>
      </w:r>
    </w:p>
    <w:p w14:paraId="09E711E6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Выделение подпроцесса происходит посредством его декомпозиции на совокупность связанных операций, выполняемых для реализации продукта, услуги или сервиса.</w:t>
      </w:r>
    </w:p>
    <w:p w14:paraId="00A64F0B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 xml:space="preserve">Для визуализации подпроцесса формируется карта подпроцесса, представляющая собой документ, отражающий этапы, роли, операции и прочие атрибуты подпроцесса. </w:t>
      </w:r>
    </w:p>
    <w:p w14:paraId="07330C1A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Определение:</w:t>
      </w:r>
    </w:p>
    <w:p w14:paraId="4C63F047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>Подпроцесс</w:t>
      </w:r>
      <w:r w:rsidRPr="00A13F51">
        <w:rPr>
          <w:szCs w:val="28"/>
        </w:rPr>
        <w:t xml:space="preserve"> – совокупность взаимосвязанных операций, инициируемых определенным событием и нацеленных на достижение конкретного результата (услуги, документа и др.). </w:t>
      </w:r>
    </w:p>
    <w:p w14:paraId="3105A6ED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Уровень владения:</w:t>
      </w:r>
    </w:p>
    <w:p w14:paraId="40E1AD10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Владельцем подпроцесса рекомендуется назначать сотрудника уровнем не ниже руководителя отдела.</w:t>
      </w:r>
    </w:p>
    <w:p w14:paraId="2CB905EC" w14:textId="77777777" w:rsidR="00196ED0" w:rsidRPr="00A13F51" w:rsidRDefault="00196ED0" w:rsidP="00196ED0">
      <w:pPr>
        <w:pStyle w:val="a3"/>
        <w:ind w:left="0"/>
        <w:rPr>
          <w:rFonts w:ascii="Times New Roman" w:hAnsi="Times New Roman" w:cs="Times New Roman"/>
          <w:b/>
          <w:szCs w:val="28"/>
        </w:rPr>
      </w:pPr>
    </w:p>
    <w:p w14:paraId="5124F0AC" w14:textId="77777777" w:rsidR="00196ED0" w:rsidRPr="00A13F51" w:rsidRDefault="00196ED0" w:rsidP="00196ED0">
      <w:pPr>
        <w:pStyle w:val="a3"/>
        <w:ind w:left="0"/>
        <w:rPr>
          <w:rFonts w:ascii="Times New Roman" w:hAnsi="Times New Roman" w:cs="Times New Roman"/>
          <w:b/>
          <w:szCs w:val="28"/>
        </w:rPr>
      </w:pPr>
      <w:r w:rsidRPr="00A13F51">
        <w:rPr>
          <w:rFonts w:ascii="Times New Roman" w:hAnsi="Times New Roman" w:cs="Times New Roman"/>
          <w:b/>
          <w:szCs w:val="28"/>
        </w:rPr>
        <w:lastRenderedPageBreak/>
        <w:t>Уровень №4 «Операция»</w:t>
      </w:r>
    </w:p>
    <w:p w14:paraId="1131CA55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Описание:</w:t>
      </w:r>
    </w:p>
    <w:p w14:paraId="3E2BDC2C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Выделение операции происходит посредством декомпозиции подпроцесса на совокупность связанных операций, выполняемых в рамках достижения результата подпроцесса.</w:t>
      </w:r>
    </w:p>
    <w:p w14:paraId="33AA4DCA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Для визуализации операций используются элементы нотации, отражающие совокупность действий, исполняемых в рамках операции и ее основные атрибуты, такие как чистое время, затрачиваемое для выполнения операции, информационная система, с применением которой, выполняется операция и т.п.</w:t>
      </w:r>
    </w:p>
    <w:p w14:paraId="27771500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Определение:</w:t>
      </w:r>
    </w:p>
    <w:p w14:paraId="1E6D79F1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>Операция</w:t>
      </w:r>
      <w:r w:rsidRPr="00A13F51">
        <w:rPr>
          <w:szCs w:val="28"/>
        </w:rPr>
        <w:t xml:space="preserve"> – четкая последовательность действий, осуществляемых участником подпроцесса и направленных на достижение конкретного результата.</w:t>
      </w:r>
    </w:p>
    <w:p w14:paraId="68EBDD54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Уровень владения:</w:t>
      </w:r>
    </w:p>
    <w:p w14:paraId="3B96C3FF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Назначение владельца на данном уровне не требуется.</w:t>
      </w:r>
    </w:p>
    <w:p w14:paraId="21E9D75E" w14:textId="77777777" w:rsidR="00196ED0" w:rsidRPr="00A13F51" w:rsidRDefault="00196ED0" w:rsidP="00196ED0">
      <w:pPr>
        <w:pStyle w:val="a3"/>
        <w:ind w:left="0"/>
        <w:rPr>
          <w:rFonts w:ascii="Times New Roman" w:hAnsi="Times New Roman" w:cs="Times New Roman"/>
          <w:b/>
          <w:szCs w:val="28"/>
        </w:rPr>
      </w:pPr>
    </w:p>
    <w:p w14:paraId="22F800CD" w14:textId="77777777" w:rsidR="00196ED0" w:rsidRPr="00A13F51" w:rsidRDefault="00196ED0" w:rsidP="00196ED0">
      <w:pPr>
        <w:pStyle w:val="a3"/>
        <w:ind w:left="0"/>
        <w:rPr>
          <w:rFonts w:ascii="Times New Roman" w:hAnsi="Times New Roman" w:cs="Times New Roman"/>
          <w:b/>
          <w:szCs w:val="28"/>
        </w:rPr>
      </w:pPr>
      <w:r w:rsidRPr="00A13F51">
        <w:rPr>
          <w:rFonts w:ascii="Times New Roman" w:hAnsi="Times New Roman" w:cs="Times New Roman"/>
          <w:b/>
          <w:szCs w:val="28"/>
        </w:rPr>
        <w:t>Уровень №5 «Действие»</w:t>
      </w:r>
    </w:p>
    <w:p w14:paraId="1F436F2C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Описание:</w:t>
      </w:r>
    </w:p>
    <w:p w14:paraId="790CB563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>Выделение действия происходит посредством декомпозиции операции на совокупность связанных действий.</w:t>
      </w:r>
    </w:p>
    <w:p w14:paraId="77977EF6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Определение:</w:t>
      </w:r>
    </w:p>
    <w:p w14:paraId="09EEA812" w14:textId="77777777" w:rsidR="00196ED0" w:rsidRPr="00A13F51" w:rsidRDefault="00196ED0" w:rsidP="00196ED0">
      <w:pPr>
        <w:rPr>
          <w:szCs w:val="28"/>
        </w:rPr>
      </w:pPr>
      <w:r w:rsidRPr="00A13F51">
        <w:rPr>
          <w:b/>
          <w:szCs w:val="28"/>
        </w:rPr>
        <w:t>Действие</w:t>
      </w:r>
      <w:r w:rsidRPr="00A13F51">
        <w:rPr>
          <w:szCs w:val="28"/>
        </w:rPr>
        <w:t xml:space="preserve"> – минимальная единица трудовой деятельности исполнителя операции, не требующая дальнейшей детализации. </w:t>
      </w:r>
    </w:p>
    <w:p w14:paraId="23B26207" w14:textId="77777777" w:rsidR="00196ED0" w:rsidRPr="00A13F51" w:rsidRDefault="00196ED0" w:rsidP="00196ED0">
      <w:pPr>
        <w:rPr>
          <w:b/>
          <w:i/>
          <w:szCs w:val="28"/>
        </w:rPr>
      </w:pPr>
      <w:r w:rsidRPr="00A13F51">
        <w:rPr>
          <w:b/>
          <w:i/>
          <w:szCs w:val="28"/>
        </w:rPr>
        <w:t>Уровень владения:</w:t>
      </w:r>
    </w:p>
    <w:p w14:paraId="0D6775D2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  <w:r w:rsidRPr="00A13F51">
        <w:rPr>
          <w:szCs w:val="28"/>
        </w:rPr>
        <w:t>Назначение владельца на данном уровне не требуется.</w:t>
      </w:r>
    </w:p>
    <w:p w14:paraId="551FB382" w14:textId="77777777" w:rsidR="00196ED0" w:rsidRPr="00A13F51" w:rsidRDefault="00196ED0" w:rsidP="00196ED0">
      <w:pPr>
        <w:autoSpaceDE w:val="0"/>
        <w:autoSpaceDN w:val="0"/>
        <w:adjustRightInd w:val="0"/>
        <w:rPr>
          <w:szCs w:val="28"/>
        </w:rPr>
      </w:pPr>
    </w:p>
    <w:p w14:paraId="3C36613C" w14:textId="77777777" w:rsidR="00196ED0" w:rsidRPr="00A13F51" w:rsidRDefault="00196ED0" w:rsidP="009D439C">
      <w:pPr>
        <w:pStyle w:val="a3"/>
        <w:numPr>
          <w:ilvl w:val="0"/>
          <w:numId w:val="42"/>
        </w:numPr>
        <w:spacing w:before="240"/>
        <w:ind w:left="357" w:hanging="357"/>
        <w:contextualSpacing w:val="0"/>
        <w:jc w:val="center"/>
        <w:outlineLvl w:val="0"/>
        <w:rPr>
          <w:rFonts w:ascii="Times New Roman" w:hAnsi="Times New Roman" w:cs="Times New Roman"/>
          <w:b/>
          <w:szCs w:val="28"/>
        </w:rPr>
      </w:pPr>
      <w:bookmarkStart w:id="7" w:name="_Toc60070188"/>
      <w:bookmarkStart w:id="8" w:name="_Toc179991527"/>
      <w:r w:rsidRPr="00A13F51">
        <w:rPr>
          <w:rFonts w:ascii="Times New Roman" w:hAnsi="Times New Roman" w:cs="Times New Roman"/>
          <w:b/>
          <w:szCs w:val="28"/>
        </w:rPr>
        <w:t>Рекомендации к описанию подпроцессов</w:t>
      </w:r>
      <w:bookmarkEnd w:id="7"/>
      <w:bookmarkEnd w:id="8"/>
    </w:p>
    <w:p w14:paraId="0D3D20ED" w14:textId="77777777" w:rsidR="00196ED0" w:rsidRPr="00A13F51" w:rsidRDefault="00196ED0" w:rsidP="009D439C">
      <w:pPr>
        <w:pStyle w:val="a3"/>
        <w:numPr>
          <w:ilvl w:val="1"/>
          <w:numId w:val="42"/>
        </w:numPr>
        <w:spacing w:before="0" w:after="0"/>
        <w:ind w:left="0" w:firstLine="709"/>
        <w:jc w:val="left"/>
        <w:outlineLvl w:val="1"/>
        <w:rPr>
          <w:rFonts w:ascii="Times New Roman" w:hAnsi="Times New Roman" w:cs="Times New Roman"/>
          <w:i/>
          <w:szCs w:val="28"/>
        </w:rPr>
      </w:pPr>
      <w:bookmarkStart w:id="9" w:name="_Toc60070189"/>
      <w:bookmarkStart w:id="10" w:name="_Toc179991528"/>
      <w:r w:rsidRPr="00A13F51">
        <w:rPr>
          <w:rFonts w:ascii="Times New Roman" w:hAnsi="Times New Roman" w:cs="Times New Roman"/>
          <w:i/>
          <w:szCs w:val="28"/>
        </w:rPr>
        <w:t>Составляющие части карты подпроцесса</w:t>
      </w:r>
      <w:bookmarkEnd w:id="9"/>
      <w:bookmarkEnd w:id="10"/>
    </w:p>
    <w:p w14:paraId="7D24EDAD" w14:textId="77777777" w:rsidR="00196ED0" w:rsidRPr="00A13F51" w:rsidRDefault="00196ED0" w:rsidP="00196ED0">
      <w:pPr>
        <w:contextualSpacing/>
        <w:rPr>
          <w:szCs w:val="28"/>
        </w:rPr>
      </w:pPr>
      <w:r w:rsidRPr="00A13F51">
        <w:rPr>
          <w:szCs w:val="28"/>
        </w:rPr>
        <w:t xml:space="preserve">Карта подпроцесса состоит из четырех блоков (Рисунок 2): </w:t>
      </w:r>
    </w:p>
    <w:p w14:paraId="0CBEEDED" w14:textId="77777777" w:rsidR="00196ED0" w:rsidRPr="00A13F51" w:rsidRDefault="00196ED0" w:rsidP="009D439C">
      <w:pPr>
        <w:pStyle w:val="a3"/>
        <w:numPr>
          <w:ilvl w:val="0"/>
          <w:numId w:val="43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b/>
          <w:szCs w:val="28"/>
        </w:rPr>
        <w:t>Блок «Заголовок карты»</w:t>
      </w:r>
      <w:r w:rsidRPr="00A13F51">
        <w:rPr>
          <w:rFonts w:ascii="Times New Roman" w:hAnsi="Times New Roman" w:cs="Times New Roman"/>
          <w:szCs w:val="28"/>
        </w:rPr>
        <w:t xml:space="preserve"> включает в себя обязательные атрибуты для заполнения, позволяющие идентифицировать описываемый подпроцесс:</w:t>
      </w:r>
    </w:p>
    <w:p w14:paraId="13BA5C1E" w14:textId="77777777" w:rsidR="00196ED0" w:rsidRPr="00A13F51" w:rsidRDefault="00196ED0" w:rsidP="009D439C">
      <w:pPr>
        <w:pStyle w:val="a3"/>
        <w:numPr>
          <w:ilvl w:val="0"/>
          <w:numId w:val="53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i/>
          <w:szCs w:val="28"/>
        </w:rPr>
        <w:t>Название</w:t>
      </w:r>
      <w:r w:rsidRPr="00A13F51">
        <w:rPr>
          <w:rFonts w:ascii="Times New Roman" w:hAnsi="Times New Roman" w:cs="Times New Roman"/>
          <w:b/>
          <w:szCs w:val="28"/>
        </w:rPr>
        <w:t xml:space="preserve"> </w:t>
      </w:r>
      <w:r w:rsidRPr="00A13F51">
        <w:rPr>
          <w:rFonts w:ascii="Times New Roman" w:hAnsi="Times New Roman" w:cs="Times New Roman"/>
          <w:szCs w:val="28"/>
        </w:rPr>
        <w:t>– краткое наименование деятельности, направленной на достижение определенного результата;</w:t>
      </w:r>
    </w:p>
    <w:p w14:paraId="6F6C9528" w14:textId="77777777" w:rsidR="00196ED0" w:rsidRPr="00A13F51" w:rsidRDefault="00196ED0" w:rsidP="009D439C">
      <w:pPr>
        <w:pStyle w:val="a3"/>
        <w:numPr>
          <w:ilvl w:val="0"/>
          <w:numId w:val="53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i/>
          <w:szCs w:val="28"/>
          <w:lang w:val="en-US"/>
        </w:rPr>
        <w:t>ID</w:t>
      </w:r>
      <w:r w:rsidRPr="00A13F51">
        <w:rPr>
          <w:rFonts w:ascii="Times New Roman" w:hAnsi="Times New Roman" w:cs="Times New Roman"/>
          <w:szCs w:val="28"/>
        </w:rPr>
        <w:t xml:space="preserve"> – номер подпроцесса согласно репозиторию</w:t>
      </w:r>
      <w:r w:rsidRPr="00A13F51">
        <w:rPr>
          <w:rStyle w:val="afd"/>
          <w:rFonts w:ascii="Times New Roman" w:hAnsi="Times New Roman" w:cs="Times New Roman"/>
          <w:szCs w:val="28"/>
        </w:rPr>
        <w:footnoteReference w:id="2"/>
      </w:r>
      <w:r w:rsidRPr="00A13F51">
        <w:rPr>
          <w:rFonts w:ascii="Times New Roman" w:hAnsi="Times New Roman" w:cs="Times New Roman"/>
          <w:szCs w:val="28"/>
        </w:rPr>
        <w:t>;</w:t>
      </w:r>
    </w:p>
    <w:p w14:paraId="33A30A74" w14:textId="77777777" w:rsidR="00196ED0" w:rsidRPr="00A13F51" w:rsidRDefault="00196ED0" w:rsidP="009D439C">
      <w:pPr>
        <w:pStyle w:val="a3"/>
        <w:numPr>
          <w:ilvl w:val="0"/>
          <w:numId w:val="53"/>
        </w:numPr>
        <w:spacing w:before="0" w:after="0"/>
        <w:ind w:left="0" w:firstLine="709"/>
        <w:rPr>
          <w:rFonts w:ascii="Times New Roman" w:hAnsi="Times New Roman" w:cs="Times New Roman"/>
          <w:i/>
          <w:szCs w:val="28"/>
        </w:rPr>
      </w:pPr>
      <w:r w:rsidRPr="00A13F51">
        <w:rPr>
          <w:rFonts w:ascii="Times New Roman" w:hAnsi="Times New Roman" w:cs="Times New Roman"/>
          <w:i/>
          <w:szCs w:val="28"/>
        </w:rPr>
        <w:t>Владелец подпроцесса</w:t>
      </w:r>
      <w:r w:rsidRPr="00A13F51">
        <w:rPr>
          <w:rFonts w:ascii="Times New Roman" w:hAnsi="Times New Roman" w:cs="Times New Roman"/>
          <w:szCs w:val="28"/>
        </w:rPr>
        <w:t xml:space="preserve"> – должность и/или структурное подразделение;</w:t>
      </w:r>
    </w:p>
    <w:p w14:paraId="10D4E5C7" w14:textId="77777777" w:rsidR="00196ED0" w:rsidRPr="00A13F51" w:rsidRDefault="00196ED0" w:rsidP="009D439C">
      <w:pPr>
        <w:pStyle w:val="a3"/>
        <w:numPr>
          <w:ilvl w:val="0"/>
          <w:numId w:val="53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i/>
          <w:szCs w:val="28"/>
        </w:rPr>
        <w:t>Автор</w:t>
      </w:r>
      <w:r w:rsidRPr="00A13F51">
        <w:rPr>
          <w:rFonts w:ascii="Times New Roman" w:hAnsi="Times New Roman" w:cs="Times New Roman"/>
          <w:szCs w:val="28"/>
        </w:rPr>
        <w:t xml:space="preserve"> – структурное подразделение работника, создавшего карту подпроцесса;</w:t>
      </w:r>
    </w:p>
    <w:p w14:paraId="527FAA68" w14:textId="77777777" w:rsidR="00196ED0" w:rsidRPr="00A13F51" w:rsidRDefault="00196ED0" w:rsidP="009D439C">
      <w:pPr>
        <w:pStyle w:val="a3"/>
        <w:numPr>
          <w:ilvl w:val="0"/>
          <w:numId w:val="53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i/>
          <w:szCs w:val="28"/>
        </w:rPr>
        <w:t>Версия</w:t>
      </w:r>
      <w:r w:rsidRPr="00A13F51">
        <w:rPr>
          <w:rFonts w:ascii="Times New Roman" w:hAnsi="Times New Roman" w:cs="Times New Roman"/>
          <w:szCs w:val="28"/>
        </w:rPr>
        <w:t xml:space="preserve"> – номер и дата утверждения версии (дд.мм.гггг), например – «1.0 от 30.10.2019».</w:t>
      </w:r>
    </w:p>
    <w:p w14:paraId="06B92A95" w14:textId="77777777" w:rsidR="00196ED0" w:rsidRPr="00A13F51" w:rsidRDefault="00196ED0" w:rsidP="009D439C">
      <w:pPr>
        <w:pStyle w:val="a3"/>
        <w:numPr>
          <w:ilvl w:val="0"/>
          <w:numId w:val="43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b/>
          <w:szCs w:val="28"/>
        </w:rPr>
        <w:t>Блоки «Дорожка»</w:t>
      </w:r>
      <w:r w:rsidRPr="00A13F51">
        <w:rPr>
          <w:rFonts w:ascii="Times New Roman" w:hAnsi="Times New Roman" w:cs="Times New Roman"/>
          <w:szCs w:val="28"/>
        </w:rPr>
        <w:t xml:space="preserve"> определяют последовательность операций, выполняемых конкретной ролью. </w:t>
      </w:r>
    </w:p>
    <w:p w14:paraId="08A33E98" w14:textId="77777777" w:rsidR="00196ED0" w:rsidRPr="00A13F51" w:rsidRDefault="00196ED0" w:rsidP="009D439C">
      <w:pPr>
        <w:pStyle w:val="a3"/>
        <w:numPr>
          <w:ilvl w:val="0"/>
          <w:numId w:val="43"/>
        </w:numPr>
        <w:tabs>
          <w:tab w:val="left" w:pos="426"/>
        </w:tabs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b/>
          <w:szCs w:val="28"/>
        </w:rPr>
        <w:lastRenderedPageBreak/>
        <w:t>Блоки «Этап подпроцесса»</w:t>
      </w:r>
      <w:r w:rsidRPr="00A13F51">
        <w:rPr>
          <w:rFonts w:ascii="Times New Roman" w:hAnsi="Times New Roman" w:cs="Times New Roman"/>
          <w:szCs w:val="28"/>
        </w:rPr>
        <w:t xml:space="preserve"> отображают логическое разделение схемы подпроцесса на основные шаги (этапы).</w:t>
      </w:r>
    </w:p>
    <w:p w14:paraId="79A503FD" w14:textId="5D56C8B6" w:rsidR="00196ED0" w:rsidRPr="00A13F51" w:rsidRDefault="005A1871" w:rsidP="009D439C">
      <w:pPr>
        <w:pStyle w:val="a3"/>
        <w:numPr>
          <w:ilvl w:val="0"/>
          <w:numId w:val="43"/>
        </w:numPr>
        <w:tabs>
          <w:tab w:val="left" w:pos="426"/>
        </w:tabs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692032" behindDoc="1" locked="0" layoutInCell="1" allowOverlap="1" wp14:anchorId="431436FE" wp14:editId="28713653">
            <wp:simplePos x="0" y="0"/>
            <wp:positionH relativeFrom="margin">
              <wp:posOffset>-236220</wp:posOffset>
            </wp:positionH>
            <wp:positionV relativeFrom="paragraph">
              <wp:posOffset>462915</wp:posOffset>
            </wp:positionV>
            <wp:extent cx="6172835" cy="3803015"/>
            <wp:effectExtent l="0" t="0" r="0" b="698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ED0" w:rsidRPr="00A13F51">
        <w:rPr>
          <w:rFonts w:ascii="Times New Roman" w:hAnsi="Times New Roman" w:cs="Times New Roman"/>
          <w:b/>
          <w:szCs w:val="28"/>
        </w:rPr>
        <w:t xml:space="preserve">Блок «Термины и сокращения» </w:t>
      </w:r>
      <w:r w:rsidR="00196ED0" w:rsidRPr="00A13F51">
        <w:rPr>
          <w:rFonts w:ascii="Times New Roman" w:hAnsi="Times New Roman" w:cs="Times New Roman"/>
          <w:szCs w:val="28"/>
        </w:rPr>
        <w:t>содержит детальную информацию о терминах и сокращениях, используемых при создании карты подпроцесса.</w:t>
      </w:r>
    </w:p>
    <w:p w14:paraId="4A96F8A5" w14:textId="08D7E41C" w:rsidR="00196ED0" w:rsidRPr="00A13F51" w:rsidRDefault="005A1871" w:rsidP="00196ED0">
      <w:pPr>
        <w:pStyle w:val="a3"/>
        <w:widowControl w:val="0"/>
        <w:ind w:left="709"/>
        <w:jc w:val="center"/>
        <w:rPr>
          <w:rFonts w:ascii="Times New Roman" w:hAnsi="Times New Roman" w:cs="Times New Roman"/>
          <w:i/>
          <w:szCs w:val="28"/>
        </w:rPr>
      </w:pPr>
      <w:r w:rsidRPr="00A13F51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FA0757" wp14:editId="64B51657">
                <wp:simplePos x="0" y="0"/>
                <wp:positionH relativeFrom="column">
                  <wp:posOffset>2377440</wp:posOffset>
                </wp:positionH>
                <wp:positionV relativeFrom="paragraph">
                  <wp:posOffset>3855720</wp:posOffset>
                </wp:positionV>
                <wp:extent cx="2753360" cy="371475"/>
                <wp:effectExtent l="0" t="0" r="0" b="0"/>
                <wp:wrapSquare wrapText="bothSides"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87333" w14:textId="77777777" w:rsidR="00136C97" w:rsidRDefault="00136C97" w:rsidP="005A1871">
                            <w:pPr>
                              <w:ind w:firstLine="0"/>
                            </w:pPr>
                            <w:r>
                              <w:rPr>
                                <w:i/>
                                <w:szCs w:val="28"/>
                              </w:rPr>
                              <w:t>Рисунок 2 «Блоки карты подпроцесса</w:t>
                            </w:r>
                            <w:r w:rsidRPr="00F433CC">
                              <w:rPr>
                                <w:i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0757" id="Надпись 29" o:spid="_x0000_s1027" type="#_x0000_t202" style="position:absolute;left:0;text-align:left;margin-left:187.2pt;margin-top:303.6pt;width:216.8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" filled="f" stroked="f" strokeweight=".5pt">
                <v:textbox>
                  <w:txbxContent>
                    <w:p w14:paraId="34887333" w14:textId="77777777" w:rsidR="00136C97" w:rsidRDefault="00136C97" w:rsidP="005A1871">
                      <w:pPr>
                        <w:ind w:firstLine="0"/>
                      </w:pPr>
                      <w:r>
                        <w:rPr>
                          <w:i/>
                          <w:szCs w:val="28"/>
                        </w:rPr>
                        <w:t>Рисунок 2 «Блоки карты подпроцесса</w:t>
                      </w:r>
                      <w:r w:rsidRPr="00F433CC">
                        <w:rPr>
                          <w:i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ED0" w:rsidRPr="00A13F51">
        <w:rPr>
          <w:rFonts w:ascii="Times New Roman" w:hAnsi="Times New Roman" w:cs="Times New Roman"/>
          <w:noProof/>
          <w:sz w:val="22"/>
        </w:rPr>
        <w:t xml:space="preserve"> </w:t>
      </w:r>
    </w:p>
    <w:p w14:paraId="1CCDB5F9" w14:textId="766243C2" w:rsidR="00196ED0" w:rsidRDefault="00196ED0" w:rsidP="00196ED0">
      <w:pPr>
        <w:pStyle w:val="a3"/>
        <w:spacing w:beforeLines="40" w:before="96" w:afterLines="40" w:after="96" w:line="276" w:lineRule="auto"/>
        <w:ind w:left="0" w:firstLine="567"/>
        <w:jc w:val="center"/>
        <w:rPr>
          <w:rFonts w:ascii="Times New Roman" w:hAnsi="Times New Roman" w:cs="Times New Roman"/>
          <w:i/>
          <w:szCs w:val="28"/>
        </w:rPr>
      </w:pPr>
    </w:p>
    <w:p w14:paraId="342706CD" w14:textId="77777777" w:rsidR="005A1871" w:rsidRPr="00A13F51" w:rsidRDefault="005A1871" w:rsidP="00196ED0">
      <w:pPr>
        <w:pStyle w:val="a3"/>
        <w:spacing w:beforeLines="40" w:before="96" w:afterLines="40" w:after="96" w:line="276" w:lineRule="auto"/>
        <w:ind w:left="0" w:firstLine="567"/>
        <w:jc w:val="center"/>
        <w:rPr>
          <w:rFonts w:ascii="Times New Roman" w:hAnsi="Times New Roman" w:cs="Times New Roman"/>
          <w:i/>
          <w:szCs w:val="28"/>
        </w:rPr>
      </w:pPr>
    </w:p>
    <w:p w14:paraId="1ACAD7BE" w14:textId="77777777" w:rsidR="00196ED0" w:rsidRPr="00A13F51" w:rsidRDefault="00196ED0" w:rsidP="009D439C">
      <w:pPr>
        <w:pStyle w:val="a3"/>
        <w:numPr>
          <w:ilvl w:val="1"/>
          <w:numId w:val="42"/>
        </w:numPr>
        <w:spacing w:before="0" w:after="0"/>
        <w:ind w:left="0" w:firstLine="709"/>
        <w:jc w:val="left"/>
        <w:outlineLvl w:val="1"/>
        <w:rPr>
          <w:rFonts w:ascii="Times New Roman" w:hAnsi="Times New Roman" w:cs="Times New Roman"/>
          <w:i/>
          <w:szCs w:val="28"/>
        </w:rPr>
      </w:pPr>
      <w:bookmarkStart w:id="11" w:name="_Toc60070190"/>
      <w:bookmarkStart w:id="12" w:name="_Toc179991529"/>
      <w:r w:rsidRPr="00A13F51">
        <w:rPr>
          <w:rFonts w:ascii="Times New Roman" w:hAnsi="Times New Roman" w:cs="Times New Roman"/>
          <w:i/>
          <w:szCs w:val="28"/>
        </w:rPr>
        <w:t>Основные этапы описания подпроцесса</w:t>
      </w:r>
      <w:bookmarkEnd w:id="11"/>
      <w:bookmarkEnd w:id="12"/>
    </w:p>
    <w:p w14:paraId="06CD6F2B" w14:textId="453B326C" w:rsidR="00196ED0" w:rsidRPr="00A13F51" w:rsidRDefault="00196ED0" w:rsidP="005A1871">
      <w:pPr>
        <w:ind w:firstLine="633"/>
        <w:rPr>
          <w:szCs w:val="28"/>
        </w:rPr>
      </w:pPr>
      <w:r w:rsidRPr="00A13F51">
        <w:rPr>
          <w:szCs w:val="28"/>
        </w:rPr>
        <w:t xml:space="preserve">Создание карты подпроцесса можно разделить на несколько последовательных этапов. Предлагаемые этапы призваны облегчить формирование карты подпроцесса и применение рекомендованных элементов нотации: </w:t>
      </w:r>
    </w:p>
    <w:p w14:paraId="122E6871" w14:textId="77777777" w:rsidR="00196ED0" w:rsidRPr="00A13F51" w:rsidRDefault="00196ED0" w:rsidP="009D439C">
      <w:pPr>
        <w:pStyle w:val="a3"/>
        <w:numPr>
          <w:ilvl w:val="0"/>
          <w:numId w:val="62"/>
        </w:numPr>
        <w:spacing w:before="0" w:after="0" w:line="276" w:lineRule="auto"/>
        <w:ind w:left="993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Определение границ подпроцесса и его названия;</w:t>
      </w:r>
    </w:p>
    <w:p w14:paraId="196963C9" w14:textId="77777777" w:rsidR="00196ED0" w:rsidRPr="00A13F51" w:rsidRDefault="00196ED0" w:rsidP="009D439C">
      <w:pPr>
        <w:pStyle w:val="a3"/>
        <w:numPr>
          <w:ilvl w:val="0"/>
          <w:numId w:val="62"/>
        </w:numPr>
        <w:spacing w:before="0" w:after="0" w:line="276" w:lineRule="auto"/>
        <w:ind w:left="993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 xml:space="preserve">Определение владельца подпроцесса, ролей, схемы подпроцесса и его этапов; </w:t>
      </w:r>
    </w:p>
    <w:p w14:paraId="7B25DA5A" w14:textId="77777777" w:rsidR="00196ED0" w:rsidRPr="00A13F51" w:rsidRDefault="00196ED0" w:rsidP="009D439C">
      <w:pPr>
        <w:pStyle w:val="a3"/>
        <w:numPr>
          <w:ilvl w:val="0"/>
          <w:numId w:val="62"/>
        </w:numPr>
        <w:spacing w:before="0" w:after="0" w:line="276" w:lineRule="auto"/>
        <w:ind w:left="993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Указание регламентных сроков для операций;</w:t>
      </w:r>
    </w:p>
    <w:p w14:paraId="7636A1B5" w14:textId="77777777" w:rsidR="00196ED0" w:rsidRPr="00A13F51" w:rsidRDefault="00196ED0" w:rsidP="009D439C">
      <w:pPr>
        <w:pStyle w:val="a3"/>
        <w:numPr>
          <w:ilvl w:val="0"/>
          <w:numId w:val="62"/>
        </w:numPr>
        <w:spacing w:before="0" w:after="0" w:line="276" w:lineRule="auto"/>
        <w:ind w:left="993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Указание чистого времени для операции;</w:t>
      </w:r>
    </w:p>
    <w:p w14:paraId="28E69611" w14:textId="77777777" w:rsidR="00196ED0" w:rsidRPr="00A13F51" w:rsidRDefault="00196ED0" w:rsidP="009D439C">
      <w:pPr>
        <w:pStyle w:val="a3"/>
        <w:numPr>
          <w:ilvl w:val="0"/>
          <w:numId w:val="62"/>
        </w:numPr>
        <w:spacing w:before="0" w:after="0" w:line="276" w:lineRule="auto"/>
        <w:ind w:left="993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Согласование карты подпроцесса с участниками подпроцесса;</w:t>
      </w:r>
    </w:p>
    <w:p w14:paraId="3117C0A6" w14:textId="77777777" w:rsidR="00196ED0" w:rsidRPr="00A13F51" w:rsidRDefault="00196ED0" w:rsidP="009D439C">
      <w:pPr>
        <w:pStyle w:val="a3"/>
        <w:numPr>
          <w:ilvl w:val="0"/>
          <w:numId w:val="62"/>
        </w:numPr>
        <w:spacing w:before="0" w:after="0" w:line="276" w:lineRule="auto"/>
        <w:ind w:left="993"/>
        <w:rPr>
          <w:rFonts w:ascii="Times New Roman" w:hAnsi="Times New Roman" w:cs="Times New Roman"/>
          <w:szCs w:val="28"/>
        </w:rPr>
      </w:pPr>
      <w:r w:rsidRPr="00A13F51">
        <w:rPr>
          <w:rFonts w:ascii="Times New Roman" w:hAnsi="Times New Roman" w:cs="Times New Roman"/>
          <w:szCs w:val="28"/>
        </w:rPr>
        <w:t>Согласование карты подпроцесса с владельцем подпроцесса.</w:t>
      </w:r>
    </w:p>
    <w:p w14:paraId="77467C2A" w14:textId="77777777" w:rsidR="00196ED0" w:rsidRPr="00A13F51" w:rsidRDefault="00196ED0" w:rsidP="00196ED0">
      <w:pPr>
        <w:pStyle w:val="a3"/>
        <w:rPr>
          <w:rFonts w:ascii="Times New Roman" w:hAnsi="Times New Roman" w:cs="Times New Roman"/>
          <w:szCs w:val="28"/>
        </w:rPr>
      </w:pPr>
    </w:p>
    <w:p w14:paraId="66164B9F" w14:textId="4AB5FDCE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 xml:space="preserve">Более детальное описание рекомендаций по выполнению этапов приводится в приложении № </w:t>
      </w:r>
      <w:r w:rsidR="00D71A3A">
        <w:rPr>
          <w:szCs w:val="28"/>
        </w:rPr>
        <w:t>1.</w:t>
      </w:r>
      <w:r w:rsidRPr="00A13F51">
        <w:rPr>
          <w:szCs w:val="28"/>
        </w:rPr>
        <w:t>4.</w:t>
      </w:r>
    </w:p>
    <w:p w14:paraId="005FF00D" w14:textId="77777777" w:rsidR="00196ED0" w:rsidRPr="00A13F51" w:rsidRDefault="00196ED0" w:rsidP="00196ED0">
      <w:pPr>
        <w:pStyle w:val="a3"/>
        <w:ind w:left="0"/>
        <w:rPr>
          <w:rFonts w:ascii="Times New Roman" w:hAnsi="Times New Roman" w:cs="Times New Roman"/>
          <w:szCs w:val="28"/>
        </w:rPr>
      </w:pPr>
    </w:p>
    <w:p w14:paraId="7B88DBAA" w14:textId="77777777" w:rsidR="00196ED0" w:rsidRPr="00A13F51" w:rsidRDefault="00196ED0" w:rsidP="009D439C">
      <w:pPr>
        <w:pStyle w:val="a3"/>
        <w:numPr>
          <w:ilvl w:val="1"/>
          <w:numId w:val="42"/>
        </w:numPr>
        <w:spacing w:before="0" w:after="0"/>
        <w:ind w:left="0" w:firstLine="709"/>
        <w:outlineLvl w:val="1"/>
        <w:rPr>
          <w:rFonts w:ascii="Times New Roman" w:hAnsi="Times New Roman" w:cs="Times New Roman"/>
          <w:i/>
          <w:szCs w:val="28"/>
        </w:rPr>
      </w:pPr>
      <w:bookmarkStart w:id="13" w:name="_Toc60070191"/>
      <w:bookmarkStart w:id="14" w:name="_Toc179991530"/>
      <w:r w:rsidRPr="00A13F51">
        <w:rPr>
          <w:rFonts w:ascii="Times New Roman" w:hAnsi="Times New Roman" w:cs="Times New Roman"/>
          <w:i/>
          <w:szCs w:val="28"/>
        </w:rPr>
        <w:t>Элементы нотации</w:t>
      </w:r>
      <w:bookmarkEnd w:id="13"/>
      <w:bookmarkEnd w:id="14"/>
    </w:p>
    <w:p w14:paraId="4C600AC2" w14:textId="77777777" w:rsidR="00196ED0" w:rsidRPr="00A13F51" w:rsidRDefault="00196ED0" w:rsidP="00196ED0">
      <w:pPr>
        <w:rPr>
          <w:szCs w:val="28"/>
        </w:rPr>
      </w:pPr>
      <w:r w:rsidRPr="00A13F51">
        <w:rPr>
          <w:szCs w:val="28"/>
        </w:rPr>
        <w:t xml:space="preserve">Ниже представлены предлагаемые к применению элементы нотации, их детальное описание и принципы использования: </w:t>
      </w:r>
    </w:p>
    <w:p w14:paraId="1B89A266" w14:textId="77777777" w:rsidR="00196ED0" w:rsidRPr="00A13F51" w:rsidRDefault="00196ED0" w:rsidP="00196ED0">
      <w:pPr>
        <w:pStyle w:val="afe"/>
        <w:keepNext/>
        <w:spacing w:beforeLines="40" w:before="96" w:afterLines="40" w:after="96" w:line="276" w:lineRule="auto"/>
        <w:ind w:right="142" w:firstLine="567"/>
        <w:jc w:val="right"/>
        <w:rPr>
          <w:color w:val="auto"/>
          <w:sz w:val="24"/>
          <w:szCs w:val="28"/>
        </w:rPr>
      </w:pPr>
      <w:bookmarkStart w:id="15" w:name="_Toc21939354"/>
      <w:bookmarkStart w:id="16" w:name="_Toc23247449"/>
      <w:bookmarkStart w:id="17" w:name="_Toc24361870"/>
      <w:bookmarkStart w:id="18" w:name="_Toc25068900"/>
      <w:bookmarkStart w:id="19" w:name="_Toc25147517"/>
      <w:r w:rsidRPr="00A13F51">
        <w:rPr>
          <w:color w:val="auto"/>
          <w:sz w:val="24"/>
          <w:szCs w:val="28"/>
        </w:rPr>
        <w:lastRenderedPageBreak/>
        <w:t xml:space="preserve">Таблица </w:t>
      </w:r>
      <w:r w:rsidRPr="00A13F51">
        <w:rPr>
          <w:color w:val="auto"/>
          <w:sz w:val="24"/>
          <w:szCs w:val="28"/>
        </w:rPr>
        <w:fldChar w:fldCharType="begin"/>
      </w:r>
      <w:r w:rsidRPr="00A13F51">
        <w:rPr>
          <w:color w:val="auto"/>
          <w:sz w:val="24"/>
          <w:szCs w:val="28"/>
        </w:rPr>
        <w:instrText xml:space="preserve"> SEQ Таблица \* ARABIC </w:instrText>
      </w:r>
      <w:r w:rsidRPr="00A13F51">
        <w:rPr>
          <w:color w:val="auto"/>
          <w:sz w:val="24"/>
          <w:szCs w:val="28"/>
        </w:rPr>
        <w:fldChar w:fldCharType="separate"/>
      </w:r>
      <w:r w:rsidRPr="00A13F51">
        <w:rPr>
          <w:noProof/>
          <w:color w:val="auto"/>
          <w:sz w:val="24"/>
          <w:szCs w:val="28"/>
        </w:rPr>
        <w:t>1</w:t>
      </w:r>
      <w:r w:rsidRPr="00A13F51">
        <w:rPr>
          <w:color w:val="auto"/>
          <w:sz w:val="24"/>
          <w:szCs w:val="28"/>
        </w:rPr>
        <w:fldChar w:fldCharType="end"/>
      </w:r>
      <w:r w:rsidRPr="00A13F51">
        <w:rPr>
          <w:color w:val="auto"/>
          <w:sz w:val="24"/>
          <w:szCs w:val="28"/>
        </w:rPr>
        <w:t xml:space="preserve"> «Элементы нотации</w:t>
      </w:r>
      <w:bookmarkEnd w:id="15"/>
      <w:bookmarkEnd w:id="16"/>
      <w:bookmarkEnd w:id="17"/>
      <w:bookmarkEnd w:id="18"/>
      <w:r w:rsidRPr="00A13F51">
        <w:rPr>
          <w:color w:val="auto"/>
          <w:sz w:val="24"/>
          <w:szCs w:val="28"/>
        </w:rPr>
        <w:t>»</w:t>
      </w:r>
      <w:bookmarkEnd w:id="19"/>
    </w:p>
    <w:tbl>
      <w:tblPr>
        <w:tblStyle w:val="ad"/>
        <w:tblW w:w="95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788"/>
        <w:gridCol w:w="2693"/>
        <w:gridCol w:w="3402"/>
      </w:tblGrid>
      <w:tr w:rsidR="00196ED0" w:rsidRPr="00196ED0" w14:paraId="77543CEA" w14:textId="77777777" w:rsidTr="005A1871">
        <w:trPr>
          <w:trHeight w:val="563"/>
          <w:tblHeader/>
        </w:trPr>
        <w:tc>
          <w:tcPr>
            <w:tcW w:w="709" w:type="dxa"/>
          </w:tcPr>
          <w:p w14:paraId="0A27E871" w14:textId="2A7638C0" w:rsidR="00196ED0" w:rsidRPr="00A13F51" w:rsidRDefault="005A1871" w:rsidP="005A1871">
            <w:pPr>
              <w:spacing w:beforeLines="40" w:before="96" w:afterLines="40" w:after="96" w:line="276" w:lineRule="auto"/>
              <w:ind w:right="34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</w:t>
            </w:r>
            <w:r w:rsidR="00196ED0" w:rsidRPr="00A13F51">
              <w:rPr>
                <w:b/>
                <w:szCs w:val="28"/>
              </w:rPr>
              <w:t>/п</w:t>
            </w:r>
          </w:p>
        </w:tc>
        <w:tc>
          <w:tcPr>
            <w:tcW w:w="2788" w:type="dxa"/>
          </w:tcPr>
          <w:p w14:paraId="380CF22C" w14:textId="77777777" w:rsidR="00196ED0" w:rsidRPr="00A13F51" w:rsidRDefault="00196ED0" w:rsidP="005A1871">
            <w:pPr>
              <w:spacing w:beforeLines="40" w:before="96" w:afterLines="40" w:after="96" w:line="276" w:lineRule="auto"/>
              <w:ind w:firstLine="0"/>
              <w:jc w:val="center"/>
              <w:rPr>
                <w:b/>
                <w:noProof/>
                <w:szCs w:val="28"/>
              </w:rPr>
            </w:pPr>
            <w:r w:rsidRPr="00A13F51">
              <w:rPr>
                <w:b/>
                <w:noProof/>
                <w:szCs w:val="28"/>
              </w:rPr>
              <w:t>Элемент</w:t>
            </w:r>
          </w:p>
        </w:tc>
        <w:tc>
          <w:tcPr>
            <w:tcW w:w="2693" w:type="dxa"/>
          </w:tcPr>
          <w:p w14:paraId="63B34186" w14:textId="77777777" w:rsidR="00196ED0" w:rsidRPr="00A13F51" w:rsidRDefault="00196ED0" w:rsidP="005A187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0"/>
              <w:jc w:val="center"/>
              <w:rPr>
                <w:b/>
                <w:bCs/>
                <w:szCs w:val="28"/>
              </w:rPr>
            </w:pPr>
            <w:r w:rsidRPr="00A13F51">
              <w:rPr>
                <w:b/>
                <w:bCs/>
                <w:szCs w:val="28"/>
              </w:rPr>
              <w:t>Название и описание элемента</w:t>
            </w:r>
          </w:p>
        </w:tc>
        <w:tc>
          <w:tcPr>
            <w:tcW w:w="3402" w:type="dxa"/>
          </w:tcPr>
          <w:p w14:paraId="6EE58CB7" w14:textId="77777777" w:rsidR="00196ED0" w:rsidRPr="00A13F51" w:rsidRDefault="00196ED0" w:rsidP="005A187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0"/>
              <w:jc w:val="center"/>
              <w:rPr>
                <w:b/>
                <w:bCs/>
                <w:szCs w:val="28"/>
              </w:rPr>
            </w:pPr>
            <w:r w:rsidRPr="00A13F51">
              <w:rPr>
                <w:b/>
                <w:bCs/>
                <w:szCs w:val="28"/>
              </w:rPr>
              <w:t>Принципы использования элементов</w:t>
            </w:r>
          </w:p>
        </w:tc>
      </w:tr>
      <w:tr w:rsidR="00196ED0" w:rsidRPr="00196ED0" w14:paraId="7C713188" w14:textId="77777777" w:rsidTr="00216AB1">
        <w:tc>
          <w:tcPr>
            <w:tcW w:w="709" w:type="dxa"/>
          </w:tcPr>
          <w:p w14:paraId="75B1E7B2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</w:t>
            </w:r>
          </w:p>
        </w:tc>
        <w:tc>
          <w:tcPr>
            <w:tcW w:w="2788" w:type="dxa"/>
          </w:tcPr>
          <w:p w14:paraId="4512A042" w14:textId="77777777" w:rsidR="00196ED0" w:rsidRPr="00A13F51" w:rsidRDefault="00196ED0" w:rsidP="00216AB1">
            <w:pPr>
              <w:spacing w:beforeLines="40" w:before="96" w:afterLines="40" w:after="96" w:line="276" w:lineRule="auto"/>
              <w:ind w:left="-536" w:firstLine="567"/>
              <w:jc w:val="center"/>
              <w:rPr>
                <w:szCs w:val="28"/>
              </w:rPr>
            </w:pPr>
            <w:r w:rsidRPr="00A13F51">
              <w:rPr>
                <w:noProof/>
                <w:sz w:val="22"/>
              </w:rPr>
              <w:drawing>
                <wp:inline distT="0" distB="0" distL="0" distR="0" wp14:anchorId="31439D04" wp14:editId="09EB7806">
                  <wp:extent cx="1341912" cy="11891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80" cy="119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69AE2E8" w14:textId="77777777" w:rsidR="00196ED0" w:rsidRPr="00A13F51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bCs/>
                <w:sz w:val="22"/>
              </w:rPr>
            </w:pPr>
            <w:r w:rsidRPr="00A13F51">
              <w:rPr>
                <w:b/>
                <w:bCs/>
                <w:sz w:val="22"/>
              </w:rPr>
              <w:t xml:space="preserve">«Ручная операция» </w:t>
            </w:r>
            <w:r w:rsidRPr="00A13F51">
              <w:rPr>
                <w:sz w:val="22"/>
              </w:rPr>
              <w:t>отражает операцию, выполняемую без использования информационных систем.</w:t>
            </w:r>
          </w:p>
        </w:tc>
        <w:tc>
          <w:tcPr>
            <w:tcW w:w="3402" w:type="dxa"/>
            <w:vMerge w:val="restart"/>
          </w:tcPr>
          <w:p w14:paraId="2EFFE3CE" w14:textId="77777777" w:rsidR="00196ED0" w:rsidRPr="00A13F51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right="17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b/>
                <w:sz w:val="22"/>
              </w:rPr>
              <w:t>Наименование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– формируется из составного номера, указанного по типу: </w:t>
            </w:r>
            <w:r w:rsidRPr="00A13F51">
              <w:rPr>
                <w:rFonts w:ascii="Times New Roman" w:hAnsi="Times New Roman" w:cs="Times New Roman"/>
                <w:sz w:val="22"/>
                <w:lang w:val="en-US"/>
              </w:rPr>
              <w:t>X</w:t>
            </w:r>
            <w:r w:rsidRPr="00A13F51">
              <w:rPr>
                <w:rFonts w:ascii="Times New Roman" w:hAnsi="Times New Roman" w:cs="Times New Roman"/>
                <w:sz w:val="22"/>
              </w:rPr>
              <w:t>.</w:t>
            </w:r>
            <w:r w:rsidRPr="00A13F51">
              <w:rPr>
                <w:rFonts w:ascii="Times New Roman" w:hAnsi="Times New Roman" w:cs="Times New Roman"/>
                <w:sz w:val="22"/>
                <w:lang w:val="en-US"/>
              </w:rPr>
              <w:t>Y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, где </w:t>
            </w:r>
            <w:r w:rsidRPr="00A13F51">
              <w:rPr>
                <w:rFonts w:ascii="Times New Roman" w:hAnsi="Times New Roman" w:cs="Times New Roman"/>
                <w:sz w:val="22"/>
                <w:lang w:val="en-US"/>
              </w:rPr>
              <w:t>X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– номер этапа и </w:t>
            </w:r>
            <w:r w:rsidRPr="00A13F51">
              <w:rPr>
                <w:rFonts w:ascii="Times New Roman" w:hAnsi="Times New Roman" w:cs="Times New Roman"/>
                <w:sz w:val="22"/>
                <w:lang w:val="en-US"/>
              </w:rPr>
              <w:t>Y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– порядковый номер операции в данном этапе, и краткого описания операции, отвечающей на вопрос «Что делает?»;</w:t>
            </w:r>
          </w:p>
          <w:p w14:paraId="29D323B0" w14:textId="36D54E67" w:rsidR="00196ED0" w:rsidRPr="00A13F51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b/>
                <w:sz w:val="22"/>
              </w:rPr>
              <w:t>Чистое время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– время, затрачиваемое на выполнение операции (приложение № </w:t>
            </w:r>
            <w:r w:rsidR="00136C97">
              <w:rPr>
                <w:rFonts w:ascii="Times New Roman" w:hAnsi="Times New Roman" w:cs="Times New Roman"/>
                <w:sz w:val="22"/>
              </w:rPr>
              <w:t>1.</w:t>
            </w:r>
            <w:r w:rsidRPr="00A13F51">
              <w:rPr>
                <w:rFonts w:ascii="Times New Roman" w:hAnsi="Times New Roman" w:cs="Times New Roman"/>
                <w:sz w:val="22"/>
              </w:rPr>
              <w:t>4);</w:t>
            </w:r>
          </w:p>
          <w:p w14:paraId="240CE637" w14:textId="0C3444FC" w:rsidR="00196ED0" w:rsidRPr="00A13F51" w:rsidRDefault="00196ED0" w:rsidP="009D439C">
            <w:pPr>
              <w:pStyle w:val="a3"/>
              <w:numPr>
                <w:ilvl w:val="0"/>
                <w:numId w:val="45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b/>
                <w:sz w:val="22"/>
              </w:rPr>
              <w:t xml:space="preserve">Информационная система (ИС) 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– наименование ИС Общества, в которой происходит выполнение операции (только для элемента «Операция в системе») (приложение № </w:t>
            </w:r>
            <w:r w:rsidR="00136C97">
              <w:rPr>
                <w:rFonts w:ascii="Times New Roman" w:hAnsi="Times New Roman" w:cs="Times New Roman"/>
                <w:sz w:val="22"/>
              </w:rPr>
              <w:t>1.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3); </w:t>
            </w:r>
          </w:p>
          <w:p w14:paraId="1DE88634" w14:textId="77777777" w:rsidR="00196ED0" w:rsidRPr="00A13F51" w:rsidRDefault="00196ED0" w:rsidP="00216AB1">
            <w:pPr>
              <w:pStyle w:val="a3"/>
              <w:spacing w:beforeLines="40" w:before="96" w:afterLines="40" w:after="96" w:line="276" w:lineRule="auto"/>
              <w:ind w:left="0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sz w:val="22"/>
              </w:rPr>
              <w:t>Не допускается указание нескольких ИС в рамках одной операции;</w:t>
            </w:r>
          </w:p>
        </w:tc>
      </w:tr>
      <w:tr w:rsidR="00196ED0" w:rsidRPr="00A13F51" w14:paraId="3B7768C7" w14:textId="77777777" w:rsidTr="00216AB1">
        <w:tc>
          <w:tcPr>
            <w:tcW w:w="709" w:type="dxa"/>
          </w:tcPr>
          <w:p w14:paraId="1D863AE6" w14:textId="77777777" w:rsidR="00196ED0" w:rsidRPr="00A13F51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A13F51">
              <w:rPr>
                <w:sz w:val="22"/>
              </w:rPr>
              <w:t>2</w:t>
            </w:r>
          </w:p>
        </w:tc>
        <w:tc>
          <w:tcPr>
            <w:tcW w:w="2788" w:type="dxa"/>
          </w:tcPr>
          <w:p w14:paraId="418E5336" w14:textId="77777777" w:rsidR="00196ED0" w:rsidRPr="00A13F51" w:rsidRDefault="00196ED0" w:rsidP="00216AB1">
            <w:pPr>
              <w:spacing w:beforeLines="40" w:before="96" w:afterLines="40" w:after="96" w:line="276" w:lineRule="auto"/>
              <w:ind w:left="-536" w:firstLine="567"/>
              <w:jc w:val="center"/>
              <w:rPr>
                <w:szCs w:val="28"/>
              </w:rPr>
            </w:pPr>
            <w:r w:rsidRPr="00A13F51">
              <w:rPr>
                <w:noProof/>
                <w:sz w:val="22"/>
              </w:rPr>
              <w:drawing>
                <wp:inline distT="0" distB="0" distL="0" distR="0" wp14:anchorId="2968424B" wp14:editId="1FC3EEFF">
                  <wp:extent cx="1377537" cy="1404285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243" cy="141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C1B074D" w14:textId="77777777" w:rsidR="00196ED0" w:rsidRPr="00A13F51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b/>
                <w:bCs/>
                <w:sz w:val="22"/>
              </w:rPr>
            </w:pPr>
            <w:r w:rsidRPr="00A13F51">
              <w:rPr>
                <w:b/>
                <w:bCs/>
                <w:sz w:val="22"/>
              </w:rPr>
              <w:t xml:space="preserve">«Операция в системе» </w:t>
            </w:r>
            <w:r w:rsidRPr="00A13F51">
              <w:rPr>
                <w:bCs/>
                <w:sz w:val="22"/>
              </w:rPr>
              <w:t>отражает операцию, выполняемую с применением одной информационной системой.</w:t>
            </w:r>
          </w:p>
        </w:tc>
        <w:tc>
          <w:tcPr>
            <w:tcW w:w="3402" w:type="dxa"/>
            <w:vMerge/>
          </w:tcPr>
          <w:p w14:paraId="03F3CFCC" w14:textId="77777777" w:rsidR="00196ED0" w:rsidRPr="004B520A" w:rsidRDefault="00196ED0" w:rsidP="009D439C">
            <w:pPr>
              <w:pStyle w:val="a3"/>
              <w:numPr>
                <w:ilvl w:val="0"/>
                <w:numId w:val="44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196ED0" w:rsidRPr="00A13F51" w14:paraId="4EE3EEB5" w14:textId="77777777" w:rsidTr="00216AB1">
        <w:trPr>
          <w:trHeight w:val="566"/>
        </w:trPr>
        <w:tc>
          <w:tcPr>
            <w:tcW w:w="709" w:type="dxa"/>
          </w:tcPr>
          <w:p w14:paraId="6EFB5F73" w14:textId="77777777" w:rsidR="00196ED0" w:rsidRPr="00A13F51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A13F51">
              <w:rPr>
                <w:sz w:val="22"/>
              </w:rPr>
              <w:t>3</w:t>
            </w:r>
          </w:p>
        </w:tc>
        <w:tc>
          <w:tcPr>
            <w:tcW w:w="2788" w:type="dxa"/>
          </w:tcPr>
          <w:p w14:paraId="3C89B1B8" w14:textId="77777777" w:rsidR="00196ED0" w:rsidRPr="00A13F51" w:rsidRDefault="00196ED0" w:rsidP="00216AB1">
            <w:pPr>
              <w:spacing w:beforeLines="40" w:before="96" w:afterLines="40" w:after="96" w:line="276" w:lineRule="auto"/>
              <w:ind w:left="-536"/>
              <w:jc w:val="center"/>
              <w:rPr>
                <w:szCs w:val="28"/>
              </w:rPr>
            </w:pPr>
            <w:r w:rsidRPr="00A13F51">
              <w:rPr>
                <w:noProof/>
                <w:sz w:val="22"/>
              </w:rPr>
              <w:drawing>
                <wp:anchor distT="0" distB="0" distL="114300" distR="114300" simplePos="0" relativeHeight="251686912" behindDoc="0" locked="0" layoutInCell="1" allowOverlap="1" wp14:anchorId="3AB46582" wp14:editId="35A700E6">
                  <wp:simplePos x="0" y="0"/>
                  <wp:positionH relativeFrom="column">
                    <wp:posOffset>90967</wp:posOffset>
                  </wp:positionH>
                  <wp:positionV relativeFrom="paragraph">
                    <wp:posOffset>111760</wp:posOffset>
                  </wp:positionV>
                  <wp:extent cx="1351915" cy="1211580"/>
                  <wp:effectExtent l="0" t="0" r="635" b="762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973ABE6" w14:textId="77777777" w:rsidR="00196ED0" w:rsidRPr="00A13F51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b/>
                <w:bCs/>
                <w:sz w:val="22"/>
              </w:rPr>
            </w:pPr>
            <w:r w:rsidRPr="00A13F51">
              <w:rPr>
                <w:b/>
                <w:bCs/>
                <w:sz w:val="22"/>
              </w:rPr>
              <w:t xml:space="preserve">«Свернутый подпроцесс» </w:t>
            </w:r>
            <w:r w:rsidRPr="00A13F51">
              <w:rPr>
                <w:bCs/>
                <w:sz w:val="22"/>
              </w:rPr>
              <w:t>является</w:t>
            </w:r>
            <w:r w:rsidRPr="00A13F51">
              <w:rPr>
                <w:b/>
                <w:bCs/>
                <w:sz w:val="22"/>
              </w:rPr>
              <w:t xml:space="preserve"> </w:t>
            </w:r>
            <w:r w:rsidRPr="00A13F51">
              <w:rPr>
                <w:bCs/>
                <w:sz w:val="22"/>
              </w:rPr>
              <w:t>отсылкой к другому описанному подпроцессу.</w:t>
            </w:r>
          </w:p>
        </w:tc>
        <w:tc>
          <w:tcPr>
            <w:tcW w:w="3402" w:type="dxa"/>
          </w:tcPr>
          <w:p w14:paraId="3596580B" w14:textId="77777777" w:rsidR="00196ED0" w:rsidRPr="00A13F51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b/>
                <w:sz w:val="22"/>
              </w:rPr>
              <w:t>Наименование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– формируется из номера (номер этапа и порядкового номера операции в данном этапе) и названия подпроцесса с указанием его </w:t>
            </w:r>
            <w:r w:rsidRPr="00A13F51">
              <w:rPr>
                <w:rFonts w:ascii="Times New Roman" w:hAnsi="Times New Roman" w:cs="Times New Roman"/>
                <w:sz w:val="22"/>
                <w:lang w:val="en-US"/>
              </w:rPr>
              <w:t>ID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согласно репозиторию;</w:t>
            </w:r>
          </w:p>
          <w:p w14:paraId="63BC6E64" w14:textId="2AEFC943" w:rsidR="00196ED0" w:rsidRPr="00A13F51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b/>
                <w:sz w:val="22"/>
              </w:rPr>
              <w:t xml:space="preserve">Чистое время 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– время, затрачиваемое на выполнение всего свернутого подпроцесса (приложение № </w:t>
            </w:r>
            <w:r w:rsidR="00136C97">
              <w:rPr>
                <w:rFonts w:ascii="Times New Roman" w:hAnsi="Times New Roman" w:cs="Times New Roman"/>
                <w:sz w:val="22"/>
              </w:rPr>
              <w:t>1.</w:t>
            </w:r>
            <w:r w:rsidRPr="00A13F51">
              <w:rPr>
                <w:rFonts w:ascii="Times New Roman" w:hAnsi="Times New Roman" w:cs="Times New Roman"/>
                <w:sz w:val="22"/>
              </w:rPr>
              <w:t>4);</w:t>
            </w:r>
          </w:p>
        </w:tc>
      </w:tr>
      <w:tr w:rsidR="00196ED0" w:rsidRPr="00A13F51" w14:paraId="425B977C" w14:textId="77777777" w:rsidTr="00216AB1">
        <w:trPr>
          <w:trHeight w:val="313"/>
        </w:trPr>
        <w:tc>
          <w:tcPr>
            <w:tcW w:w="709" w:type="dxa"/>
          </w:tcPr>
          <w:p w14:paraId="194983AD" w14:textId="77777777" w:rsidR="00196ED0" w:rsidRPr="00A13F51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A13F51">
              <w:rPr>
                <w:sz w:val="22"/>
              </w:rPr>
              <w:t>4</w:t>
            </w:r>
          </w:p>
        </w:tc>
        <w:tc>
          <w:tcPr>
            <w:tcW w:w="2788" w:type="dxa"/>
          </w:tcPr>
          <w:p w14:paraId="344D493B" w14:textId="77777777" w:rsidR="00196ED0" w:rsidRPr="00A13F51" w:rsidRDefault="00196ED0" w:rsidP="00216AB1">
            <w:pPr>
              <w:spacing w:beforeLines="40" w:before="96" w:afterLines="40" w:after="96" w:line="276" w:lineRule="auto"/>
              <w:ind w:firstLine="567"/>
              <w:rPr>
                <w:noProof/>
                <w:szCs w:val="28"/>
              </w:rPr>
            </w:pPr>
            <w:r w:rsidRPr="00A13F51">
              <w:rPr>
                <w:noProof/>
                <w:sz w:val="22"/>
              </w:rPr>
              <w:drawing>
                <wp:anchor distT="0" distB="0" distL="114300" distR="114300" simplePos="0" relativeHeight="251663360" behindDoc="0" locked="0" layoutInCell="1" allowOverlap="1" wp14:anchorId="62DA34C5" wp14:editId="682752C3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133350</wp:posOffset>
                  </wp:positionV>
                  <wp:extent cx="1217930" cy="1077595"/>
                  <wp:effectExtent l="0" t="0" r="1270" b="825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F3DEB" w14:textId="77777777" w:rsidR="00196ED0" w:rsidRPr="00A13F51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</w:p>
        </w:tc>
        <w:tc>
          <w:tcPr>
            <w:tcW w:w="2693" w:type="dxa"/>
          </w:tcPr>
          <w:p w14:paraId="41F71FE9" w14:textId="77777777" w:rsidR="00196ED0" w:rsidRPr="00A13F51" w:rsidRDefault="00196ED0" w:rsidP="00216AB1">
            <w:pPr>
              <w:spacing w:beforeLines="40" w:before="96" w:afterLines="40" w:after="96" w:line="276" w:lineRule="auto"/>
              <w:rPr>
                <w:sz w:val="22"/>
              </w:rPr>
            </w:pPr>
            <w:r w:rsidRPr="00A13F51">
              <w:rPr>
                <w:b/>
                <w:sz w:val="22"/>
              </w:rPr>
              <w:t>«Маркер</w:t>
            </w:r>
            <w:r w:rsidRPr="00A13F51">
              <w:rPr>
                <w:sz w:val="22"/>
              </w:rPr>
              <w:t xml:space="preserve"> </w:t>
            </w:r>
            <w:r w:rsidRPr="00A13F51">
              <w:rPr>
                <w:b/>
                <w:bCs/>
                <w:sz w:val="22"/>
              </w:rPr>
              <w:t>роботизированной операции»</w:t>
            </w:r>
            <w:r w:rsidRPr="00A13F51">
              <w:rPr>
                <w:sz w:val="22"/>
              </w:rPr>
              <w:t xml:space="preserve"> обозначает операцию, выполняемую с применением технологии роботизации (</w:t>
            </w:r>
            <w:r w:rsidRPr="00A13F51">
              <w:rPr>
                <w:sz w:val="22"/>
                <w:lang w:val="en-US"/>
              </w:rPr>
              <w:t>RPA</w:t>
            </w:r>
            <w:r w:rsidRPr="00A13F51">
              <w:rPr>
                <w:sz w:val="22"/>
              </w:rPr>
              <w:t xml:space="preserve">). </w:t>
            </w:r>
          </w:p>
        </w:tc>
        <w:tc>
          <w:tcPr>
            <w:tcW w:w="3402" w:type="dxa"/>
            <w:vMerge w:val="restart"/>
          </w:tcPr>
          <w:p w14:paraId="409008AF" w14:textId="77777777" w:rsidR="00196ED0" w:rsidRPr="00A13F51" w:rsidRDefault="00196ED0" w:rsidP="009D439C">
            <w:pPr>
              <w:pStyle w:val="a3"/>
              <w:numPr>
                <w:ilvl w:val="0"/>
                <w:numId w:val="47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79F03F1" wp14:editId="3A670D1E">
                  <wp:simplePos x="0" y="0"/>
                  <wp:positionH relativeFrom="column">
                    <wp:posOffset>317560</wp:posOffset>
                  </wp:positionH>
                  <wp:positionV relativeFrom="paragraph">
                    <wp:posOffset>870585</wp:posOffset>
                  </wp:positionV>
                  <wp:extent cx="1561465" cy="998855"/>
                  <wp:effectExtent l="0" t="0" r="635" b="0"/>
                  <wp:wrapSquare wrapText="bothSides"/>
                  <wp:docPr id="112" name="Рисунок 112" descr="cid:image001.png@01D572F3.99BC46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572F3.99BC4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3F51">
              <w:rPr>
                <w:rFonts w:ascii="Times New Roman" w:hAnsi="Times New Roman" w:cs="Times New Roman"/>
                <w:b/>
                <w:sz w:val="22"/>
              </w:rPr>
              <w:t>Расположение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– маркер размещается в правой нижней части элемента операции:</w:t>
            </w:r>
          </w:p>
          <w:p w14:paraId="70A9EFA6" w14:textId="77777777" w:rsidR="00196ED0" w:rsidRPr="00A13F51" w:rsidRDefault="00196ED0" w:rsidP="00216AB1">
            <w:pPr>
              <w:spacing w:beforeLines="40" w:before="96" w:afterLines="40" w:after="96" w:line="276" w:lineRule="auto"/>
              <w:ind w:firstLine="567"/>
              <w:rPr>
                <w:sz w:val="22"/>
              </w:rPr>
            </w:pPr>
          </w:p>
        </w:tc>
      </w:tr>
      <w:tr w:rsidR="00196ED0" w:rsidRPr="00196ED0" w14:paraId="7CFB6529" w14:textId="77777777" w:rsidTr="00216AB1">
        <w:trPr>
          <w:trHeight w:val="3524"/>
        </w:trPr>
        <w:tc>
          <w:tcPr>
            <w:tcW w:w="709" w:type="dxa"/>
          </w:tcPr>
          <w:p w14:paraId="4ECF4457" w14:textId="77777777" w:rsidR="00196ED0" w:rsidRPr="00A13F51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A13F51">
              <w:rPr>
                <w:sz w:val="22"/>
              </w:rPr>
              <w:lastRenderedPageBreak/>
              <w:t>5</w:t>
            </w:r>
          </w:p>
        </w:tc>
        <w:tc>
          <w:tcPr>
            <w:tcW w:w="2788" w:type="dxa"/>
          </w:tcPr>
          <w:p w14:paraId="007DA4B6" w14:textId="77777777" w:rsidR="00196ED0" w:rsidRPr="00A13F51" w:rsidRDefault="00196ED0" w:rsidP="00216AB1">
            <w:pPr>
              <w:spacing w:beforeLines="40" w:before="96" w:afterLines="40" w:after="96" w:line="276" w:lineRule="auto"/>
              <w:ind w:firstLine="567"/>
              <w:rPr>
                <w:szCs w:val="28"/>
              </w:rPr>
            </w:pPr>
            <w:r w:rsidRPr="00A13F51">
              <w:rPr>
                <w:noProof/>
                <w:sz w:val="22"/>
              </w:rPr>
              <w:drawing>
                <wp:anchor distT="0" distB="0" distL="114300" distR="114300" simplePos="0" relativeHeight="251685888" behindDoc="0" locked="0" layoutInCell="1" allowOverlap="1" wp14:anchorId="1E6F0633" wp14:editId="244DA540">
                  <wp:simplePos x="0" y="0"/>
                  <wp:positionH relativeFrom="column">
                    <wp:posOffset>122082</wp:posOffset>
                  </wp:positionH>
                  <wp:positionV relativeFrom="paragraph">
                    <wp:posOffset>57150</wp:posOffset>
                  </wp:positionV>
                  <wp:extent cx="1303655" cy="1172210"/>
                  <wp:effectExtent l="0" t="0" r="0" b="889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3F51">
              <w:rPr>
                <w:sz w:val="22"/>
              </w:rPr>
              <w:t xml:space="preserve"> </w:t>
            </w:r>
          </w:p>
        </w:tc>
        <w:tc>
          <w:tcPr>
            <w:tcW w:w="2693" w:type="dxa"/>
          </w:tcPr>
          <w:p w14:paraId="6F248B31" w14:textId="77777777" w:rsidR="00196ED0" w:rsidRPr="00A13F51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sz w:val="22"/>
              </w:rPr>
            </w:pPr>
            <w:r w:rsidRPr="00A13F51">
              <w:rPr>
                <w:b/>
                <w:bCs/>
                <w:sz w:val="22"/>
              </w:rPr>
              <w:t xml:space="preserve">«Маркер </w:t>
            </w:r>
            <w:r w:rsidRPr="00A13F51">
              <w:rPr>
                <w:b/>
                <w:sz w:val="22"/>
              </w:rPr>
              <w:t>автоматической операции»</w:t>
            </w:r>
            <w:r w:rsidRPr="00A13F51">
              <w:rPr>
                <w:sz w:val="22"/>
              </w:rPr>
              <w:t xml:space="preserve"> обозначает операцию, выполняемую автоматически в конкретной информационной системе без привлечения участника подпроцесса.</w:t>
            </w:r>
          </w:p>
          <w:p w14:paraId="67FCD607" w14:textId="77777777" w:rsidR="00196ED0" w:rsidRPr="00A13F51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567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402" w:type="dxa"/>
            <w:vMerge/>
          </w:tcPr>
          <w:p w14:paraId="69ABC041" w14:textId="77777777" w:rsidR="00196ED0" w:rsidRPr="00A13F51" w:rsidRDefault="00196ED0" w:rsidP="00216AB1">
            <w:pPr>
              <w:spacing w:beforeLines="40" w:before="96" w:afterLines="40" w:after="96" w:line="276" w:lineRule="auto"/>
              <w:ind w:firstLine="567"/>
              <w:rPr>
                <w:sz w:val="22"/>
              </w:rPr>
            </w:pPr>
          </w:p>
        </w:tc>
      </w:tr>
      <w:tr w:rsidR="00196ED0" w:rsidRPr="00196ED0" w14:paraId="7927065B" w14:textId="77777777" w:rsidTr="00216AB1">
        <w:trPr>
          <w:trHeight w:val="1851"/>
        </w:trPr>
        <w:tc>
          <w:tcPr>
            <w:tcW w:w="709" w:type="dxa"/>
          </w:tcPr>
          <w:p w14:paraId="5364D725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6</w:t>
            </w:r>
          </w:p>
        </w:tc>
        <w:tc>
          <w:tcPr>
            <w:tcW w:w="2788" w:type="dxa"/>
          </w:tcPr>
          <w:p w14:paraId="5E9E8D04" w14:textId="77777777" w:rsidR="00196ED0" w:rsidRPr="00294FB6" w:rsidRDefault="00196ED0" w:rsidP="00216AB1">
            <w:pPr>
              <w:spacing w:beforeLines="40" w:before="96" w:afterLines="40" w:after="96" w:line="276" w:lineRule="auto"/>
              <w:ind w:left="-253" w:right="313" w:firstLine="820"/>
              <w:jc w:val="center"/>
              <w:rPr>
                <w:noProof/>
                <w:sz w:val="22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84864" behindDoc="0" locked="0" layoutInCell="1" allowOverlap="1" wp14:anchorId="51C9501B" wp14:editId="3312FD11">
                  <wp:simplePos x="0" y="0"/>
                  <wp:positionH relativeFrom="column">
                    <wp:posOffset>131342</wp:posOffset>
                  </wp:positionH>
                  <wp:positionV relativeFrom="paragraph">
                    <wp:posOffset>236</wp:posOffset>
                  </wp:positionV>
                  <wp:extent cx="1379220" cy="141351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394C5D9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b/>
                <w:sz w:val="22"/>
              </w:rPr>
            </w:pPr>
            <w:r w:rsidRPr="00294FB6">
              <w:rPr>
                <w:b/>
                <w:sz w:val="22"/>
              </w:rPr>
              <w:t xml:space="preserve">«Маркер регламентного времени» </w:t>
            </w:r>
            <w:r w:rsidRPr="00294FB6">
              <w:rPr>
                <w:sz w:val="22"/>
              </w:rPr>
              <w:t>обозначает регламентное время</w:t>
            </w:r>
            <w:r w:rsidRPr="00A13F51">
              <w:rPr>
                <w:rStyle w:val="afd"/>
                <w:sz w:val="22"/>
              </w:rPr>
              <w:footnoteReference w:id="3"/>
            </w:r>
            <w:r w:rsidRPr="00294FB6">
              <w:rPr>
                <w:sz w:val="22"/>
              </w:rPr>
              <w:t>, выделенное на выполнение конкретной операции или срок, к которому должна быть выполнена операция.</w:t>
            </w:r>
          </w:p>
        </w:tc>
        <w:tc>
          <w:tcPr>
            <w:tcW w:w="3402" w:type="dxa"/>
          </w:tcPr>
          <w:p w14:paraId="7D76BED0" w14:textId="77777777" w:rsidR="00196ED0" w:rsidRPr="00A13F51" w:rsidRDefault="00196ED0" w:rsidP="009D439C">
            <w:pPr>
              <w:pStyle w:val="a3"/>
              <w:numPr>
                <w:ilvl w:val="0"/>
                <w:numId w:val="47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A13F51">
              <w:rPr>
                <w:rFonts w:ascii="Times New Roman" w:hAnsi="Times New Roman" w:cs="Times New Roman"/>
                <w:b/>
                <w:sz w:val="22"/>
              </w:rPr>
              <w:t>Расположение</w:t>
            </w:r>
            <w:r w:rsidRPr="00A13F51">
              <w:rPr>
                <w:rFonts w:ascii="Times New Roman" w:hAnsi="Times New Roman" w:cs="Times New Roman"/>
                <w:sz w:val="22"/>
              </w:rPr>
              <w:t xml:space="preserve"> – маркер размещается в левой верхней части элемента операции:</w:t>
            </w:r>
          </w:p>
          <w:p w14:paraId="4F833F7A" w14:textId="77777777" w:rsidR="00196ED0" w:rsidRPr="00294FB6" w:rsidRDefault="00196ED0" w:rsidP="00216AB1">
            <w:pPr>
              <w:pStyle w:val="a3"/>
              <w:spacing w:beforeLines="40" w:before="96" w:afterLines="40" w:after="96" w:line="276" w:lineRule="auto"/>
              <w:ind w:left="0" w:firstLine="567"/>
              <w:rPr>
                <w:rFonts w:ascii="Times New Roman" w:hAnsi="Times New Roman" w:cs="Times New Roman"/>
                <w:b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noProof/>
                <w:sz w:val="2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A83462C" wp14:editId="1927ED6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33020</wp:posOffset>
                  </wp:positionV>
                  <wp:extent cx="1590675" cy="1224280"/>
                  <wp:effectExtent l="0" t="0" r="952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Безымянный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6ED0" w:rsidRPr="00196ED0" w14:paraId="4DAE8A75" w14:textId="77777777" w:rsidTr="00216AB1">
        <w:trPr>
          <w:trHeight w:val="1851"/>
        </w:trPr>
        <w:tc>
          <w:tcPr>
            <w:tcW w:w="709" w:type="dxa"/>
          </w:tcPr>
          <w:p w14:paraId="692BC57F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7</w:t>
            </w:r>
          </w:p>
        </w:tc>
        <w:tc>
          <w:tcPr>
            <w:tcW w:w="2788" w:type="dxa"/>
          </w:tcPr>
          <w:p w14:paraId="4F447D77" w14:textId="77777777" w:rsidR="00196ED0" w:rsidRPr="00294FB6" w:rsidRDefault="00196ED0" w:rsidP="00216AB1">
            <w:pPr>
              <w:spacing w:beforeLines="40" w:before="96" w:afterLines="40" w:after="96" w:line="276" w:lineRule="auto"/>
              <w:ind w:right="313"/>
              <w:rPr>
                <w:noProof/>
                <w:sz w:val="22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83840" behindDoc="0" locked="0" layoutInCell="1" allowOverlap="1" wp14:anchorId="2BCABBEB" wp14:editId="1B97EEC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100374</wp:posOffset>
                  </wp:positionV>
                  <wp:extent cx="1633220" cy="949960"/>
                  <wp:effectExtent l="0" t="0" r="5080" b="254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118E2064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sz w:val="22"/>
              </w:rPr>
            </w:pPr>
            <w:r w:rsidRPr="00294FB6">
              <w:rPr>
                <w:b/>
                <w:sz w:val="22"/>
              </w:rPr>
              <w:t xml:space="preserve">«Маркер ожидания в операции» </w:t>
            </w:r>
            <w:r w:rsidRPr="00294FB6">
              <w:rPr>
                <w:sz w:val="22"/>
              </w:rPr>
              <w:t>обозначает время ожидания и/или простоя, затраченное при выполнении конкретной операции.</w:t>
            </w:r>
          </w:p>
        </w:tc>
        <w:tc>
          <w:tcPr>
            <w:tcW w:w="3402" w:type="dxa"/>
          </w:tcPr>
          <w:p w14:paraId="147D4DDC" w14:textId="77777777" w:rsidR="00196ED0" w:rsidRPr="00294FB6" w:rsidRDefault="00196ED0" w:rsidP="009D439C">
            <w:pPr>
              <w:pStyle w:val="a3"/>
              <w:numPr>
                <w:ilvl w:val="0"/>
                <w:numId w:val="47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294FB6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EAF276C" wp14:editId="108834C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1052520</wp:posOffset>
                  </wp:positionV>
                  <wp:extent cx="2075815" cy="871855"/>
                  <wp:effectExtent l="0" t="0" r="635" b="444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4FB6">
              <w:rPr>
                <w:rFonts w:ascii="Times New Roman" w:hAnsi="Times New Roman" w:cs="Times New Roman"/>
                <w:b/>
                <w:noProof/>
                <w:sz w:val="22"/>
              </w:rPr>
              <w:t xml:space="preserve">Расположение 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– маркер размещается в правой нижней части элемента операции: </w:t>
            </w:r>
          </w:p>
          <w:p w14:paraId="2620A6DF" w14:textId="77777777" w:rsidR="00196ED0" w:rsidRPr="00294FB6" w:rsidRDefault="00196ED0" w:rsidP="00216AB1">
            <w:pPr>
              <w:pStyle w:val="a3"/>
              <w:spacing w:beforeLines="40" w:before="96" w:afterLines="40" w:after="96" w:line="276" w:lineRule="auto"/>
              <w:ind w:left="567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</w:tr>
      <w:tr w:rsidR="00196ED0" w:rsidRPr="00196ED0" w14:paraId="18B7D7FB" w14:textId="77777777" w:rsidTr="00216AB1">
        <w:trPr>
          <w:trHeight w:val="1851"/>
        </w:trPr>
        <w:tc>
          <w:tcPr>
            <w:tcW w:w="709" w:type="dxa"/>
          </w:tcPr>
          <w:p w14:paraId="3C02955A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8</w:t>
            </w:r>
          </w:p>
        </w:tc>
        <w:tc>
          <w:tcPr>
            <w:tcW w:w="2788" w:type="dxa"/>
          </w:tcPr>
          <w:p w14:paraId="4A287849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67456" behindDoc="0" locked="0" layoutInCell="1" allowOverlap="1" wp14:anchorId="545C6D69" wp14:editId="78DE2FC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70485</wp:posOffset>
                  </wp:positionV>
                  <wp:extent cx="1536065" cy="709295"/>
                  <wp:effectExtent l="0" t="0" r="698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D9B5327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sz w:val="22"/>
              </w:rPr>
            </w:pPr>
            <w:r w:rsidRPr="00294FB6">
              <w:rPr>
                <w:b/>
                <w:sz w:val="22"/>
              </w:rPr>
              <w:t>«Группа»</w:t>
            </w:r>
            <w:r w:rsidRPr="00294FB6">
              <w:rPr>
                <w:sz w:val="22"/>
              </w:rPr>
              <w:t xml:space="preserve"> объединяет элементы на схеме подпроцесса с целью визуального отображения группировки по общему признаку: элемент «Группа» может применяться для указания общего времени в случае отсутствия возможности </w:t>
            </w:r>
            <w:r w:rsidRPr="00294FB6">
              <w:rPr>
                <w:sz w:val="22"/>
              </w:rPr>
              <w:lastRenderedPageBreak/>
              <w:t>установить время для каждой отдельной операции.</w:t>
            </w:r>
          </w:p>
          <w:p w14:paraId="1AD1AF59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567"/>
              <w:rPr>
                <w:sz w:val="22"/>
              </w:rPr>
            </w:pPr>
          </w:p>
        </w:tc>
        <w:tc>
          <w:tcPr>
            <w:tcW w:w="3402" w:type="dxa"/>
          </w:tcPr>
          <w:p w14:paraId="7940BB4D" w14:textId="77777777" w:rsidR="00196ED0" w:rsidRPr="00294FB6" w:rsidRDefault="00196ED0" w:rsidP="009D439C">
            <w:pPr>
              <w:pStyle w:val="a3"/>
              <w:numPr>
                <w:ilvl w:val="0"/>
                <w:numId w:val="47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lastRenderedPageBreak/>
              <w:t>Расположение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 – элемент размещается таким образом, чтобы все группируемые операции оказались внутри границ его контура;</w:t>
            </w:r>
          </w:p>
          <w:p w14:paraId="435E6E3C" w14:textId="2DBAC2C9" w:rsidR="00196ED0" w:rsidRPr="00294FB6" w:rsidRDefault="00196ED0" w:rsidP="009D439C">
            <w:pPr>
              <w:pStyle w:val="a3"/>
              <w:numPr>
                <w:ilvl w:val="0"/>
                <w:numId w:val="47"/>
              </w:numPr>
              <w:spacing w:before="0" w:after="0"/>
              <w:ind w:left="36" w:firstLine="324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>Чистое время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 – время, затрачиваемое на выполнение группы операции (приложение № </w:t>
            </w:r>
            <w:r w:rsidR="00136C97">
              <w:rPr>
                <w:rFonts w:ascii="Times New Roman" w:hAnsi="Times New Roman" w:cs="Times New Roman"/>
                <w:sz w:val="22"/>
              </w:rPr>
              <w:t>1.</w:t>
            </w:r>
            <w:r w:rsidRPr="00294FB6">
              <w:rPr>
                <w:rFonts w:ascii="Times New Roman" w:hAnsi="Times New Roman" w:cs="Times New Roman"/>
                <w:sz w:val="22"/>
              </w:rPr>
              <w:t>4);</w:t>
            </w:r>
          </w:p>
        </w:tc>
      </w:tr>
      <w:tr w:rsidR="00196ED0" w:rsidRPr="00196ED0" w14:paraId="5C45F642" w14:textId="77777777" w:rsidTr="00216AB1">
        <w:tc>
          <w:tcPr>
            <w:tcW w:w="709" w:type="dxa"/>
          </w:tcPr>
          <w:p w14:paraId="5FE5660A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9</w:t>
            </w:r>
          </w:p>
        </w:tc>
        <w:tc>
          <w:tcPr>
            <w:tcW w:w="2788" w:type="dxa"/>
          </w:tcPr>
          <w:p w14:paraId="7E886DC3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62336" behindDoc="0" locked="0" layoutInCell="1" allowOverlap="1" wp14:anchorId="7EDCE9CB" wp14:editId="7C02099A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161925</wp:posOffset>
                  </wp:positionV>
                  <wp:extent cx="1217930" cy="583565"/>
                  <wp:effectExtent l="0" t="0" r="1270" b="698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2E7D3C4" w14:textId="77777777" w:rsidR="00196ED0" w:rsidRPr="00294FB6" w:rsidRDefault="00196ED0" w:rsidP="00216AB1">
            <w:pPr>
              <w:spacing w:beforeLines="40" w:before="96" w:afterLines="40" w:after="96" w:line="276" w:lineRule="auto"/>
              <w:rPr>
                <w:bCs/>
                <w:sz w:val="22"/>
              </w:rPr>
            </w:pPr>
            <w:r w:rsidRPr="00294FB6">
              <w:rPr>
                <w:b/>
                <w:bCs/>
                <w:sz w:val="22"/>
              </w:rPr>
              <w:t>«Поток</w:t>
            </w:r>
            <w:r w:rsidRPr="00294FB6">
              <w:rPr>
                <w:bCs/>
                <w:sz w:val="22"/>
              </w:rPr>
              <w:t xml:space="preserve"> </w:t>
            </w:r>
            <w:r w:rsidRPr="00294FB6">
              <w:rPr>
                <w:b/>
                <w:bCs/>
                <w:sz w:val="22"/>
              </w:rPr>
              <w:t xml:space="preserve">исполнения» </w:t>
            </w:r>
            <w:r w:rsidRPr="00294FB6">
              <w:rPr>
                <w:bCs/>
                <w:sz w:val="22"/>
              </w:rPr>
              <w:t xml:space="preserve">определяет направление исполнения подпроцесса и может отражать условия исполнения следующей операции. </w:t>
            </w:r>
          </w:p>
        </w:tc>
        <w:tc>
          <w:tcPr>
            <w:tcW w:w="3402" w:type="dxa"/>
          </w:tcPr>
          <w:p w14:paraId="22B3DED8" w14:textId="77777777" w:rsidR="00196ED0" w:rsidRPr="00294FB6" w:rsidRDefault="00196ED0" w:rsidP="009D439C">
            <w:pPr>
              <w:pStyle w:val="a3"/>
              <w:numPr>
                <w:ilvl w:val="0"/>
                <w:numId w:val="48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Условие </w:t>
            </w:r>
            <w:r w:rsidRPr="00294FB6">
              <w:rPr>
                <w:rFonts w:ascii="Times New Roman" w:hAnsi="Times New Roman" w:cs="Times New Roman"/>
                <w:sz w:val="22"/>
              </w:rPr>
              <w:t>– описание условий, при которых выполняется последующая операция (только для потоков, выходящих из «</w:t>
            </w:r>
            <w:r w:rsidRPr="00294FB6">
              <w:rPr>
                <w:rFonts w:ascii="Times New Roman" w:hAnsi="Times New Roman" w:cs="Times New Roman"/>
                <w:bCs/>
                <w:sz w:val="22"/>
              </w:rPr>
              <w:t>Эксклюзивного шлюза» или «Неэксклюзивного шлюза» - п. 18-19, Таблица 1</w:t>
            </w:r>
            <w:r w:rsidRPr="00294FB6">
              <w:rPr>
                <w:rFonts w:ascii="Times New Roman" w:hAnsi="Times New Roman" w:cs="Times New Roman"/>
                <w:sz w:val="22"/>
              </w:rPr>
              <w:t>);</w:t>
            </w:r>
          </w:p>
          <w:p w14:paraId="6978D9BC" w14:textId="77777777" w:rsidR="00196ED0" w:rsidRPr="00294FB6" w:rsidRDefault="00196ED0" w:rsidP="009D439C">
            <w:pPr>
              <w:pStyle w:val="a3"/>
              <w:numPr>
                <w:ilvl w:val="0"/>
                <w:numId w:val="48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>Расположение –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 поток исполнения размещается между двумя элементами подпроцесса;</w:t>
            </w:r>
          </w:p>
        </w:tc>
      </w:tr>
      <w:tr w:rsidR="00196ED0" w:rsidRPr="00196ED0" w14:paraId="4FCF7CB5" w14:textId="77777777" w:rsidTr="00216AB1">
        <w:tc>
          <w:tcPr>
            <w:tcW w:w="709" w:type="dxa"/>
          </w:tcPr>
          <w:p w14:paraId="03053093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10</w:t>
            </w:r>
          </w:p>
        </w:tc>
        <w:tc>
          <w:tcPr>
            <w:tcW w:w="2788" w:type="dxa"/>
          </w:tcPr>
          <w:p w14:paraId="79252EC5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  <w:r w:rsidRPr="00294FB6">
              <w:rPr>
                <w:noProof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53758B2" wp14:editId="67529953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0</wp:posOffset>
                  </wp:positionV>
                  <wp:extent cx="1116965" cy="461645"/>
                  <wp:effectExtent l="0" t="0" r="698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28044B1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bCs/>
                <w:sz w:val="22"/>
              </w:rPr>
            </w:pPr>
            <w:r w:rsidRPr="00294FB6">
              <w:rPr>
                <w:b/>
                <w:bCs/>
                <w:sz w:val="22"/>
              </w:rPr>
              <w:t xml:space="preserve">«Поток ассоциация» </w:t>
            </w:r>
            <w:r w:rsidRPr="00294FB6">
              <w:rPr>
                <w:bCs/>
                <w:sz w:val="22"/>
              </w:rPr>
              <w:t>отображает формирование и/или использование документа (бумажного и/или электронного) при</w:t>
            </w:r>
            <w:r w:rsidRPr="00294FB6">
              <w:rPr>
                <w:b/>
                <w:bCs/>
                <w:sz w:val="22"/>
              </w:rPr>
              <w:t xml:space="preserve"> </w:t>
            </w:r>
            <w:r w:rsidRPr="00294FB6">
              <w:rPr>
                <w:bCs/>
                <w:sz w:val="22"/>
              </w:rPr>
              <w:t>выполнении операции.</w:t>
            </w:r>
          </w:p>
        </w:tc>
        <w:tc>
          <w:tcPr>
            <w:tcW w:w="3402" w:type="dxa"/>
          </w:tcPr>
          <w:p w14:paraId="2DD7EDEE" w14:textId="77777777" w:rsidR="00196ED0" w:rsidRPr="00294FB6" w:rsidRDefault="00196ED0" w:rsidP="009D439C">
            <w:pPr>
              <w:pStyle w:val="a3"/>
              <w:numPr>
                <w:ilvl w:val="0"/>
                <w:numId w:val="49"/>
              </w:numPr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>Расположение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 – поток ассоциаций размещается между элементами операций подпроцесса и документами; </w:t>
            </w:r>
          </w:p>
        </w:tc>
      </w:tr>
      <w:tr w:rsidR="00196ED0" w:rsidRPr="00196ED0" w14:paraId="17A67194" w14:textId="77777777" w:rsidTr="00216AB1">
        <w:tc>
          <w:tcPr>
            <w:tcW w:w="709" w:type="dxa"/>
          </w:tcPr>
          <w:p w14:paraId="65EFFCE6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11</w:t>
            </w:r>
          </w:p>
        </w:tc>
        <w:tc>
          <w:tcPr>
            <w:tcW w:w="2788" w:type="dxa"/>
          </w:tcPr>
          <w:p w14:paraId="42C5F8E4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rPr>
                <w:noProof/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80768" behindDoc="0" locked="0" layoutInCell="1" allowOverlap="1" wp14:anchorId="66D0FE4F" wp14:editId="7AB911E2">
                  <wp:simplePos x="0" y="0"/>
                  <wp:positionH relativeFrom="column">
                    <wp:posOffset>-8417</wp:posOffset>
                  </wp:positionH>
                  <wp:positionV relativeFrom="paragraph">
                    <wp:posOffset>60325</wp:posOffset>
                  </wp:positionV>
                  <wp:extent cx="1483360" cy="1349375"/>
                  <wp:effectExtent l="0" t="0" r="2540" b="317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3FEA2DE7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b/>
                <w:bCs/>
                <w:sz w:val="22"/>
              </w:rPr>
            </w:pPr>
            <w:r w:rsidRPr="00294FB6">
              <w:rPr>
                <w:b/>
                <w:bCs/>
                <w:sz w:val="22"/>
              </w:rPr>
              <w:t>«Бумажный документ»</w:t>
            </w:r>
            <w:r w:rsidRPr="00294FB6">
              <w:rPr>
                <w:sz w:val="22"/>
              </w:rPr>
              <w:t xml:space="preserve"> / </w:t>
            </w:r>
            <w:r w:rsidRPr="00294FB6">
              <w:rPr>
                <w:b/>
                <w:sz w:val="22"/>
              </w:rPr>
              <w:t>«Электронный документ»</w:t>
            </w:r>
            <w:r w:rsidRPr="00294FB6">
              <w:rPr>
                <w:sz w:val="22"/>
              </w:rPr>
              <w:t xml:space="preserve"> отображает документ, созданный или использованный в рамках выполняемой операции.</w:t>
            </w:r>
          </w:p>
        </w:tc>
        <w:tc>
          <w:tcPr>
            <w:tcW w:w="3402" w:type="dxa"/>
          </w:tcPr>
          <w:p w14:paraId="15EFC00D" w14:textId="77777777" w:rsidR="00196ED0" w:rsidRPr="00294FB6" w:rsidRDefault="00196ED0" w:rsidP="009D439C">
            <w:pPr>
              <w:pStyle w:val="a3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bCs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Наименование – 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название документа в соответствии с принятой в Обществе формулировкой. Для </w:t>
            </w:r>
            <w:r w:rsidRPr="00294FB6">
              <w:rPr>
                <w:rFonts w:ascii="Times New Roman" w:hAnsi="Times New Roman" w:cs="Times New Roman"/>
                <w:i/>
                <w:sz w:val="22"/>
              </w:rPr>
              <w:t xml:space="preserve">«электронного документа» </w:t>
            </w:r>
            <w:r w:rsidRPr="00294FB6">
              <w:rPr>
                <w:rFonts w:ascii="Times New Roman" w:hAnsi="Times New Roman" w:cs="Times New Roman"/>
                <w:sz w:val="22"/>
              </w:rPr>
              <w:t>указывается формат файла</w:t>
            </w:r>
            <w:r w:rsidRPr="00294FB6">
              <w:rPr>
                <w:rFonts w:ascii="Times New Roman" w:hAnsi="Times New Roman" w:cs="Times New Roman"/>
                <w:bCs/>
                <w:sz w:val="22"/>
              </w:rPr>
              <w:t xml:space="preserve">; </w:t>
            </w:r>
          </w:p>
          <w:p w14:paraId="29A770FD" w14:textId="77777777" w:rsidR="00196ED0" w:rsidRPr="00294FB6" w:rsidRDefault="00196ED0" w:rsidP="009D439C">
            <w:pPr>
              <w:pStyle w:val="a3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bCs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Расположение – </w:t>
            </w:r>
            <w:r w:rsidRPr="00294FB6">
              <w:rPr>
                <w:rFonts w:ascii="Times New Roman" w:hAnsi="Times New Roman" w:cs="Times New Roman"/>
                <w:bCs/>
                <w:sz w:val="22"/>
              </w:rPr>
              <w:t>элементы документации связываются с операцией при помощи элемента «Поток ассоциация»;</w:t>
            </w:r>
          </w:p>
        </w:tc>
      </w:tr>
      <w:tr w:rsidR="00196ED0" w:rsidRPr="00196ED0" w14:paraId="68E3F1ED" w14:textId="77777777" w:rsidTr="00216AB1">
        <w:tc>
          <w:tcPr>
            <w:tcW w:w="709" w:type="dxa"/>
          </w:tcPr>
          <w:p w14:paraId="6760022C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12</w:t>
            </w:r>
          </w:p>
        </w:tc>
        <w:tc>
          <w:tcPr>
            <w:tcW w:w="2788" w:type="dxa"/>
          </w:tcPr>
          <w:p w14:paraId="69402FCB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rPr>
                <w:noProof/>
                <w:sz w:val="22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91008" behindDoc="0" locked="0" layoutInCell="1" allowOverlap="1" wp14:anchorId="28F00E9A" wp14:editId="1C6CFB65">
                  <wp:simplePos x="0" y="0"/>
                  <wp:positionH relativeFrom="margin">
                    <wp:posOffset>-57785</wp:posOffset>
                  </wp:positionH>
                  <wp:positionV relativeFrom="margin">
                    <wp:posOffset>29845</wp:posOffset>
                  </wp:positionV>
                  <wp:extent cx="1743075" cy="1295400"/>
                  <wp:effectExtent l="0" t="0" r="9525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766878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rPr>
                <w:noProof/>
                <w:sz w:val="22"/>
              </w:rPr>
            </w:pPr>
          </w:p>
          <w:p w14:paraId="7F92A8BE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rPr>
                <w:szCs w:val="28"/>
                <w:lang w:val="en-US"/>
              </w:rPr>
            </w:pPr>
          </w:p>
        </w:tc>
        <w:tc>
          <w:tcPr>
            <w:tcW w:w="2693" w:type="dxa"/>
          </w:tcPr>
          <w:p w14:paraId="38608978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i/>
                <w:sz w:val="22"/>
              </w:rPr>
            </w:pPr>
            <w:r w:rsidRPr="00294FB6">
              <w:rPr>
                <w:b/>
                <w:bCs/>
                <w:sz w:val="22"/>
              </w:rPr>
              <w:lastRenderedPageBreak/>
              <w:t xml:space="preserve">«Стартовое событие» </w:t>
            </w:r>
            <w:r w:rsidRPr="00294FB6">
              <w:rPr>
                <w:bCs/>
                <w:i/>
                <w:sz w:val="22"/>
              </w:rPr>
              <w:t>(</w:t>
            </w:r>
            <w:r w:rsidRPr="00294FB6">
              <w:rPr>
                <w:i/>
                <w:sz w:val="22"/>
              </w:rPr>
              <w:t>Начало подпроцесса)</w:t>
            </w:r>
            <w:r w:rsidRPr="00294FB6">
              <w:rPr>
                <w:b/>
                <w:bCs/>
                <w:sz w:val="22"/>
              </w:rPr>
              <w:t xml:space="preserve"> </w:t>
            </w:r>
            <w:r w:rsidRPr="00294FB6">
              <w:rPr>
                <w:sz w:val="22"/>
              </w:rPr>
              <w:t>–событие, инициирующее начало подпроцесса. Схема подпроцесса может содержать несколько Стартовых событий.</w:t>
            </w:r>
          </w:p>
        </w:tc>
        <w:tc>
          <w:tcPr>
            <w:tcW w:w="3402" w:type="dxa"/>
          </w:tcPr>
          <w:p w14:paraId="6A869197" w14:textId="77777777" w:rsidR="00196ED0" w:rsidRPr="00294FB6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Наименование </w:t>
            </w:r>
            <w:r w:rsidRPr="00294FB6">
              <w:rPr>
                <w:rFonts w:ascii="Times New Roman" w:hAnsi="Times New Roman" w:cs="Times New Roman"/>
                <w:sz w:val="22"/>
              </w:rPr>
              <w:t>–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краткое описание события в завершенной форме, генерирующее начало подпроцесса и по смыслу являющееся продолжением фразы «Работы по подпроцессу начнутся после того как …». </w:t>
            </w:r>
          </w:p>
          <w:p w14:paraId="478C3542" w14:textId="77777777" w:rsidR="00196ED0" w:rsidRPr="00294FB6" w:rsidRDefault="00196ED0" w:rsidP="00216AB1">
            <w:pPr>
              <w:pStyle w:val="a3"/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95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sz w:val="22"/>
              </w:rPr>
              <w:t xml:space="preserve">В случае если стартовое событие является результатом </w:t>
            </w:r>
            <w:r w:rsidRPr="00294FB6">
              <w:rPr>
                <w:rFonts w:ascii="Times New Roman" w:hAnsi="Times New Roman" w:cs="Times New Roman"/>
                <w:sz w:val="22"/>
              </w:rPr>
              <w:lastRenderedPageBreak/>
              <w:t xml:space="preserve">завершения другого подпроцесса, внесенного в репозиторий, необходимо дополнительно указать название этого подпроцесса и </w:t>
            </w:r>
            <w:r w:rsidRPr="00294FB6">
              <w:rPr>
                <w:rFonts w:ascii="Times New Roman" w:hAnsi="Times New Roman" w:cs="Times New Roman"/>
                <w:sz w:val="22"/>
                <w:lang w:val="en-US"/>
              </w:rPr>
              <w:t>ID</w:t>
            </w:r>
            <w:r w:rsidRPr="00294FB6">
              <w:rPr>
                <w:rFonts w:ascii="Times New Roman" w:hAnsi="Times New Roman" w:cs="Times New Roman"/>
                <w:sz w:val="22"/>
              </w:rPr>
              <w:t>;</w:t>
            </w:r>
          </w:p>
        </w:tc>
      </w:tr>
      <w:tr w:rsidR="00196ED0" w:rsidRPr="00196ED0" w14:paraId="433E64C7" w14:textId="77777777" w:rsidTr="00216AB1">
        <w:tc>
          <w:tcPr>
            <w:tcW w:w="709" w:type="dxa"/>
          </w:tcPr>
          <w:p w14:paraId="0BC4FFD8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lastRenderedPageBreak/>
              <w:t>13</w:t>
            </w:r>
          </w:p>
        </w:tc>
        <w:tc>
          <w:tcPr>
            <w:tcW w:w="2788" w:type="dxa"/>
          </w:tcPr>
          <w:p w14:paraId="1F97C6C8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89984" behindDoc="0" locked="0" layoutInCell="1" allowOverlap="1" wp14:anchorId="1BF5162E" wp14:editId="246096F0">
                  <wp:simplePos x="0" y="0"/>
                  <wp:positionH relativeFrom="column">
                    <wp:posOffset>23997</wp:posOffset>
                  </wp:positionH>
                  <wp:positionV relativeFrom="paragraph">
                    <wp:posOffset>25252</wp:posOffset>
                  </wp:positionV>
                  <wp:extent cx="1600200" cy="133350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1CB19ACF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sz w:val="22"/>
              </w:rPr>
            </w:pPr>
            <w:r w:rsidRPr="00294FB6">
              <w:rPr>
                <w:b/>
                <w:bCs/>
                <w:sz w:val="22"/>
              </w:rPr>
              <w:t xml:space="preserve">«Конечное событие» </w:t>
            </w:r>
            <w:r w:rsidRPr="00294FB6">
              <w:rPr>
                <w:bCs/>
                <w:i/>
                <w:sz w:val="22"/>
              </w:rPr>
              <w:t>(Завершение подпроцесса</w:t>
            </w:r>
            <w:r w:rsidRPr="00294FB6">
              <w:rPr>
                <w:sz w:val="22"/>
              </w:rPr>
              <w:t>) – событие, являющееся результатом выполнения подпроцесса.</w:t>
            </w:r>
          </w:p>
          <w:p w14:paraId="648CBADC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sz w:val="22"/>
              </w:rPr>
            </w:pPr>
            <w:r w:rsidRPr="00294FB6">
              <w:rPr>
                <w:sz w:val="22"/>
              </w:rPr>
              <w:t>Схема подпроцесса может содержать несколько Конечных событий.</w:t>
            </w:r>
          </w:p>
          <w:p w14:paraId="05E96497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567"/>
              <w:rPr>
                <w:bCs/>
                <w:sz w:val="22"/>
              </w:rPr>
            </w:pPr>
          </w:p>
        </w:tc>
        <w:tc>
          <w:tcPr>
            <w:tcW w:w="3402" w:type="dxa"/>
          </w:tcPr>
          <w:p w14:paraId="65C4A016" w14:textId="77777777" w:rsidR="00196ED0" w:rsidRPr="00294FB6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Наименование </w:t>
            </w:r>
            <w:r w:rsidRPr="00294FB6">
              <w:rPr>
                <w:rFonts w:ascii="Times New Roman" w:hAnsi="Times New Roman" w:cs="Times New Roman"/>
                <w:sz w:val="22"/>
              </w:rPr>
              <w:t>–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краткое описание результата прохождения подпроцесса в завершенной форме. В случае если конечное событие является стартовым событием для последующего согласованного подпроцесса, необходимо дополнительно указать Название этого подпроцесса и </w:t>
            </w:r>
            <w:r w:rsidRPr="00294FB6">
              <w:rPr>
                <w:rFonts w:ascii="Times New Roman" w:hAnsi="Times New Roman" w:cs="Times New Roman"/>
                <w:sz w:val="22"/>
                <w:lang w:val="en-US"/>
              </w:rPr>
              <w:t>ID</w:t>
            </w:r>
            <w:r w:rsidRPr="00294FB6">
              <w:rPr>
                <w:rFonts w:ascii="Times New Roman" w:hAnsi="Times New Roman" w:cs="Times New Roman"/>
                <w:sz w:val="22"/>
              </w:rPr>
              <w:t>;</w:t>
            </w:r>
          </w:p>
        </w:tc>
      </w:tr>
      <w:tr w:rsidR="00196ED0" w:rsidRPr="00196ED0" w14:paraId="230C21E3" w14:textId="77777777" w:rsidTr="00216AB1">
        <w:tc>
          <w:tcPr>
            <w:tcW w:w="709" w:type="dxa"/>
          </w:tcPr>
          <w:p w14:paraId="4BACF8A4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14</w:t>
            </w:r>
          </w:p>
        </w:tc>
        <w:tc>
          <w:tcPr>
            <w:tcW w:w="2788" w:type="dxa"/>
          </w:tcPr>
          <w:p w14:paraId="45CB76F5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74624" behindDoc="0" locked="0" layoutInCell="1" allowOverlap="1" wp14:anchorId="288B3FD1" wp14:editId="011C0B7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60325</wp:posOffset>
                  </wp:positionV>
                  <wp:extent cx="1249045" cy="2314575"/>
                  <wp:effectExtent l="0" t="0" r="8255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9F6481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</w:p>
        </w:tc>
        <w:tc>
          <w:tcPr>
            <w:tcW w:w="2693" w:type="dxa"/>
          </w:tcPr>
          <w:p w14:paraId="62DF77FC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bCs/>
                <w:sz w:val="22"/>
              </w:rPr>
            </w:pPr>
            <w:r w:rsidRPr="00294FB6">
              <w:rPr>
                <w:bCs/>
                <w:sz w:val="22"/>
              </w:rPr>
              <w:t>Элементы</w:t>
            </w:r>
            <w:r w:rsidRPr="00294FB6">
              <w:rPr>
                <w:b/>
                <w:bCs/>
                <w:sz w:val="22"/>
              </w:rPr>
              <w:t xml:space="preserve"> «Связь» </w:t>
            </w:r>
            <w:r w:rsidRPr="00294FB6">
              <w:rPr>
                <w:bCs/>
                <w:sz w:val="22"/>
              </w:rPr>
              <w:t>применяются для отражения потока между операциями, находящимися на значительном удалении друг от друга, а также для исключения пересечения линий потоков подпроцесса.</w:t>
            </w:r>
          </w:p>
          <w:p w14:paraId="320AF78F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bCs/>
                <w:sz w:val="22"/>
              </w:rPr>
            </w:pPr>
            <w:r w:rsidRPr="00294FB6">
              <w:rPr>
                <w:bCs/>
                <w:sz w:val="22"/>
              </w:rPr>
              <w:t>Элементы «Связь» всегда используются в паре.</w:t>
            </w:r>
          </w:p>
        </w:tc>
        <w:tc>
          <w:tcPr>
            <w:tcW w:w="3402" w:type="dxa"/>
          </w:tcPr>
          <w:p w14:paraId="69C7E9D6" w14:textId="77777777" w:rsidR="00196ED0" w:rsidRPr="00294FB6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Наименование – </w:t>
            </w:r>
            <w:r w:rsidRPr="00294FB6">
              <w:rPr>
                <w:rFonts w:ascii="Times New Roman" w:hAnsi="Times New Roman" w:cs="Times New Roman"/>
                <w:sz w:val="22"/>
              </w:rPr>
              <w:t>содержит краткое описание результата предшествующей операции в совершенной форме. Наименование пары элементов всегда идентично;</w:t>
            </w:r>
          </w:p>
          <w:p w14:paraId="35629C1F" w14:textId="77777777" w:rsidR="00196ED0" w:rsidRPr="00294FB6" w:rsidRDefault="00196ED0" w:rsidP="009D439C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bCs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Расположение – </w:t>
            </w:r>
            <w:r w:rsidRPr="00294FB6">
              <w:rPr>
                <w:rFonts w:ascii="Times New Roman" w:hAnsi="Times New Roman" w:cs="Times New Roman"/>
                <w:sz w:val="22"/>
              </w:rPr>
              <w:t>элемент может соединяться только с одним элементом;</w:t>
            </w:r>
          </w:p>
        </w:tc>
      </w:tr>
      <w:tr w:rsidR="00196ED0" w:rsidRPr="00196ED0" w14:paraId="74920AC9" w14:textId="77777777" w:rsidTr="00216AB1">
        <w:tc>
          <w:tcPr>
            <w:tcW w:w="709" w:type="dxa"/>
          </w:tcPr>
          <w:p w14:paraId="237CC607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15</w:t>
            </w:r>
          </w:p>
        </w:tc>
        <w:tc>
          <w:tcPr>
            <w:tcW w:w="2788" w:type="dxa"/>
          </w:tcPr>
          <w:p w14:paraId="04C5B5BE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noProof/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75648" behindDoc="0" locked="0" layoutInCell="1" allowOverlap="1" wp14:anchorId="2BF0CC91" wp14:editId="4FE4A593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60325</wp:posOffset>
                  </wp:positionV>
                  <wp:extent cx="1410335" cy="103124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D9DA2B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</w:p>
        </w:tc>
        <w:tc>
          <w:tcPr>
            <w:tcW w:w="2693" w:type="dxa"/>
          </w:tcPr>
          <w:p w14:paraId="53937A89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sz w:val="22"/>
              </w:rPr>
            </w:pPr>
            <w:r w:rsidRPr="00294FB6">
              <w:rPr>
                <w:b/>
                <w:bCs/>
                <w:sz w:val="22"/>
              </w:rPr>
              <w:t>«Промежуточное событие»</w:t>
            </w:r>
            <w:r w:rsidRPr="00294FB6">
              <w:rPr>
                <w:sz w:val="22"/>
              </w:rPr>
              <w:t xml:space="preserve"> отражает ожидание наступления конкретного события для продолжения хода подпроцесса.</w:t>
            </w:r>
          </w:p>
        </w:tc>
        <w:tc>
          <w:tcPr>
            <w:tcW w:w="3402" w:type="dxa"/>
          </w:tcPr>
          <w:p w14:paraId="5BD0CE95" w14:textId="77777777" w:rsidR="00196ED0" w:rsidRPr="00294FB6" w:rsidRDefault="00196ED0" w:rsidP="009D439C">
            <w:pPr>
              <w:pStyle w:val="a3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Наименование </w:t>
            </w:r>
            <w:r w:rsidRPr="00294FB6">
              <w:rPr>
                <w:rFonts w:ascii="Times New Roman" w:hAnsi="Times New Roman" w:cs="Times New Roman"/>
                <w:sz w:val="22"/>
              </w:rPr>
              <w:t>–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294FB6">
              <w:rPr>
                <w:rFonts w:ascii="Times New Roman" w:hAnsi="Times New Roman" w:cs="Times New Roman"/>
                <w:sz w:val="22"/>
              </w:rPr>
              <w:t>краткое описание промежуточного события, отвечающего на вопрос: «Что должно произойти для продолжения работ по подпроцессу?»;</w:t>
            </w:r>
          </w:p>
        </w:tc>
      </w:tr>
      <w:tr w:rsidR="00196ED0" w:rsidRPr="00196ED0" w14:paraId="6DA9DA49" w14:textId="77777777" w:rsidTr="00216AB1">
        <w:tc>
          <w:tcPr>
            <w:tcW w:w="709" w:type="dxa"/>
          </w:tcPr>
          <w:p w14:paraId="21B4A700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lastRenderedPageBreak/>
              <w:t>16</w:t>
            </w:r>
          </w:p>
        </w:tc>
        <w:tc>
          <w:tcPr>
            <w:tcW w:w="2788" w:type="dxa"/>
          </w:tcPr>
          <w:p w14:paraId="2A7766B8" w14:textId="77777777" w:rsidR="00196ED0" w:rsidRPr="00294FB6" w:rsidRDefault="00196ED0" w:rsidP="00216AB1">
            <w:pPr>
              <w:spacing w:beforeLines="40" w:before="96" w:afterLines="40" w:after="96" w:line="276" w:lineRule="auto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76672" behindDoc="0" locked="0" layoutInCell="1" allowOverlap="1" wp14:anchorId="11B0E803" wp14:editId="4AC17097">
                  <wp:simplePos x="0" y="0"/>
                  <wp:positionH relativeFrom="column">
                    <wp:posOffset>51303</wp:posOffset>
                  </wp:positionH>
                  <wp:positionV relativeFrom="paragraph">
                    <wp:posOffset>82616</wp:posOffset>
                  </wp:positionV>
                  <wp:extent cx="1419225" cy="823595"/>
                  <wp:effectExtent l="0" t="0" r="9525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28"/>
                          <a:stretch/>
                        </pic:blipFill>
                        <pic:spPr bwMode="auto">
                          <a:xfrm>
                            <a:off x="0" y="0"/>
                            <a:ext cx="1419225" cy="82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41AC71C4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b/>
                <w:bCs/>
                <w:sz w:val="22"/>
              </w:rPr>
            </w:pPr>
            <w:r w:rsidRPr="00294FB6">
              <w:rPr>
                <w:b/>
                <w:bCs/>
                <w:sz w:val="22"/>
              </w:rPr>
              <w:t>«Ожидание»</w:t>
            </w:r>
            <w:r w:rsidRPr="00294FB6">
              <w:rPr>
                <w:sz w:val="22"/>
              </w:rPr>
              <w:t xml:space="preserve"> отражает ожидание наступления конкретного момента времени для продолжения хода подпроцесса.</w:t>
            </w:r>
          </w:p>
        </w:tc>
        <w:tc>
          <w:tcPr>
            <w:tcW w:w="3402" w:type="dxa"/>
          </w:tcPr>
          <w:p w14:paraId="0F954CA4" w14:textId="77777777" w:rsidR="00196ED0" w:rsidRPr="00294FB6" w:rsidRDefault="00196ED0" w:rsidP="009D439C">
            <w:pPr>
              <w:pStyle w:val="a3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iCs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Наименование – 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обозначение конкретного момента времени, при наступлении которого ход подпроцесса возобновится; </w:t>
            </w:r>
          </w:p>
        </w:tc>
      </w:tr>
      <w:tr w:rsidR="00196ED0" w:rsidRPr="00196ED0" w14:paraId="3B4629FB" w14:textId="77777777" w:rsidTr="00216AB1">
        <w:tc>
          <w:tcPr>
            <w:tcW w:w="709" w:type="dxa"/>
          </w:tcPr>
          <w:p w14:paraId="282810E4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17</w:t>
            </w:r>
          </w:p>
        </w:tc>
        <w:tc>
          <w:tcPr>
            <w:tcW w:w="2788" w:type="dxa"/>
          </w:tcPr>
          <w:p w14:paraId="241CC3BC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77696" behindDoc="0" locked="0" layoutInCell="1" allowOverlap="1" wp14:anchorId="7A091EDA" wp14:editId="4AF194C5">
                  <wp:simplePos x="0" y="0"/>
                  <wp:positionH relativeFrom="column">
                    <wp:posOffset>-11563</wp:posOffset>
                  </wp:positionH>
                  <wp:positionV relativeFrom="paragraph">
                    <wp:posOffset>57785</wp:posOffset>
                  </wp:positionV>
                  <wp:extent cx="1483360" cy="2359025"/>
                  <wp:effectExtent l="0" t="0" r="2540" b="317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7E8DD304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38"/>
              <w:rPr>
                <w:sz w:val="22"/>
              </w:rPr>
            </w:pPr>
            <w:r w:rsidRPr="00294FB6">
              <w:rPr>
                <w:b/>
                <w:bCs/>
                <w:sz w:val="22"/>
              </w:rPr>
              <w:t>«Параллельный шлюз»</w:t>
            </w:r>
            <w:r w:rsidRPr="00294FB6">
              <w:rPr>
                <w:sz w:val="22"/>
              </w:rPr>
              <w:t xml:space="preserve"> («обязательное И», </w:t>
            </w:r>
            <w:r w:rsidRPr="00294FB6">
              <w:rPr>
                <w:sz w:val="22"/>
                <w:lang w:val="en-US"/>
              </w:rPr>
              <w:t>AND</w:t>
            </w:r>
            <w:r w:rsidRPr="00294FB6">
              <w:rPr>
                <w:sz w:val="22"/>
              </w:rPr>
              <w:t xml:space="preserve">) применяется в случаях, когда дальнейшие операции выполняются параллельно. </w:t>
            </w:r>
          </w:p>
        </w:tc>
        <w:tc>
          <w:tcPr>
            <w:tcW w:w="3402" w:type="dxa"/>
            <w:vMerge w:val="restart"/>
          </w:tcPr>
          <w:p w14:paraId="21E54AD9" w14:textId="77777777" w:rsidR="00196ED0" w:rsidRPr="00294FB6" w:rsidRDefault="00196ED0" w:rsidP="009D439C">
            <w:pPr>
              <w:pStyle w:val="a3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95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Условие – 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шлюзы разделяются на 2 вида: «открывающие» и «закрывающие». В «открывающий шлюз» входит 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>только один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 «поток исполнения», а выходит 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>несколько</w:t>
            </w:r>
            <w:r w:rsidRPr="00294FB6">
              <w:rPr>
                <w:rFonts w:ascii="Times New Roman" w:hAnsi="Times New Roman" w:cs="Times New Roman"/>
                <w:sz w:val="22"/>
              </w:rPr>
              <w:t>;</w:t>
            </w:r>
            <w:r w:rsidRPr="00294FB6">
              <w:rPr>
                <w:rFonts w:ascii="Times New Roman" w:hAnsi="Times New Roman" w:cs="Times New Roman"/>
                <w:sz w:val="22"/>
              </w:rPr>
              <w:br/>
              <w:t xml:space="preserve">В «закрывающий» шлюз входит 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>несколько</w:t>
            </w:r>
            <w:r w:rsidRPr="00294FB6">
              <w:rPr>
                <w:rFonts w:ascii="Times New Roman" w:hAnsi="Times New Roman" w:cs="Times New Roman"/>
                <w:sz w:val="22"/>
              </w:rPr>
              <w:t xml:space="preserve"> «потоков исполнения», а выходит 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>только один</w:t>
            </w:r>
            <w:r w:rsidRPr="00294FB6">
              <w:rPr>
                <w:rFonts w:ascii="Times New Roman" w:hAnsi="Times New Roman" w:cs="Times New Roman"/>
                <w:sz w:val="22"/>
              </w:rPr>
              <w:t>;</w:t>
            </w:r>
          </w:p>
          <w:p w14:paraId="74752D30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595"/>
              <w:rPr>
                <w:sz w:val="22"/>
              </w:rPr>
            </w:pPr>
            <w:r w:rsidRPr="00294FB6">
              <w:rPr>
                <w:sz w:val="22"/>
              </w:rPr>
              <w:t>Для</w:t>
            </w:r>
            <w:r w:rsidRPr="00294FB6">
              <w:rPr>
                <w:i/>
                <w:sz w:val="22"/>
              </w:rPr>
              <w:t xml:space="preserve"> «Параллельного» </w:t>
            </w:r>
            <w:r w:rsidRPr="00294FB6">
              <w:rPr>
                <w:sz w:val="22"/>
              </w:rPr>
              <w:t>или</w:t>
            </w:r>
            <w:r w:rsidRPr="00294FB6">
              <w:rPr>
                <w:i/>
                <w:sz w:val="22"/>
              </w:rPr>
              <w:t xml:space="preserve"> «Неэксклюзивного» </w:t>
            </w:r>
            <w:r w:rsidRPr="00294FB6">
              <w:rPr>
                <w:sz w:val="22"/>
              </w:rPr>
              <w:t>«закрывающих» шлюзов является обязательным ожидание заведения всех инициированных потоков и затем активация исходящего потока;</w:t>
            </w:r>
            <w:r w:rsidRPr="00294FB6">
              <w:rPr>
                <w:i/>
                <w:sz w:val="22"/>
              </w:rPr>
              <w:t xml:space="preserve"> </w:t>
            </w:r>
          </w:p>
          <w:p w14:paraId="4E5379C8" w14:textId="77777777" w:rsidR="00196ED0" w:rsidRPr="00294FB6" w:rsidRDefault="00196ED0" w:rsidP="00216AB1">
            <w:pPr>
              <w:pStyle w:val="a3"/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sz w:val="22"/>
              </w:rPr>
              <w:t>Любой «открывающий шлюз» должен быть закрыт таким же «закрывающим шлюзом», кроме случаев, когда ход подпроцесса завершается конечными событиями для всех потоков шлюза;</w:t>
            </w:r>
          </w:p>
          <w:p w14:paraId="7373C47F" w14:textId="77777777" w:rsidR="00196ED0" w:rsidRPr="00294FB6" w:rsidRDefault="00196ED0" w:rsidP="009D439C">
            <w:pPr>
              <w:pStyle w:val="a3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bCs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Расположение – </w:t>
            </w:r>
            <w:r w:rsidRPr="00294FB6">
              <w:rPr>
                <w:rFonts w:ascii="Times New Roman" w:hAnsi="Times New Roman" w:cs="Times New Roman"/>
                <w:sz w:val="22"/>
              </w:rPr>
              <w:t>«открывающий</w:t>
            </w: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294FB6">
              <w:rPr>
                <w:rFonts w:ascii="Times New Roman" w:hAnsi="Times New Roman" w:cs="Times New Roman"/>
                <w:bCs/>
                <w:sz w:val="22"/>
              </w:rPr>
              <w:t xml:space="preserve">шлюз» располагается после операции </w:t>
            </w:r>
            <w:r w:rsidRPr="00294FB6">
              <w:rPr>
                <w:rFonts w:ascii="Times New Roman" w:hAnsi="Times New Roman" w:cs="Times New Roman"/>
                <w:bCs/>
                <w:sz w:val="22"/>
              </w:rPr>
              <w:lastRenderedPageBreak/>
              <w:t>указывающей на условия разветвления подпроцесса;</w:t>
            </w:r>
          </w:p>
        </w:tc>
      </w:tr>
      <w:tr w:rsidR="00196ED0" w:rsidRPr="00294FB6" w14:paraId="2F375C35" w14:textId="77777777" w:rsidTr="00216AB1">
        <w:tc>
          <w:tcPr>
            <w:tcW w:w="709" w:type="dxa"/>
          </w:tcPr>
          <w:p w14:paraId="0DC5671E" w14:textId="77777777" w:rsidR="00196ED0" w:rsidRPr="004B520A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4B520A">
              <w:rPr>
                <w:sz w:val="22"/>
              </w:rPr>
              <w:t>18</w:t>
            </w:r>
          </w:p>
        </w:tc>
        <w:tc>
          <w:tcPr>
            <w:tcW w:w="2788" w:type="dxa"/>
          </w:tcPr>
          <w:p w14:paraId="691190B6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78720" behindDoc="0" locked="0" layoutInCell="1" allowOverlap="1" wp14:anchorId="30E521E8" wp14:editId="6152A10A">
                  <wp:simplePos x="0" y="0"/>
                  <wp:positionH relativeFrom="column">
                    <wp:posOffset>-11563</wp:posOffset>
                  </wp:positionH>
                  <wp:positionV relativeFrom="paragraph">
                    <wp:posOffset>62865</wp:posOffset>
                  </wp:positionV>
                  <wp:extent cx="1483360" cy="2456180"/>
                  <wp:effectExtent l="0" t="0" r="2540" b="127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61E97367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sz w:val="22"/>
              </w:rPr>
            </w:pPr>
            <w:r w:rsidRPr="00294FB6">
              <w:rPr>
                <w:b/>
                <w:bCs/>
                <w:sz w:val="22"/>
              </w:rPr>
              <w:t xml:space="preserve">«Эксклюзивный шлюз» </w:t>
            </w:r>
            <w:r w:rsidRPr="00294FB6">
              <w:rPr>
                <w:sz w:val="22"/>
              </w:rPr>
              <w:t xml:space="preserve">(«Исключающее ИЛИ», </w:t>
            </w:r>
            <w:r w:rsidRPr="00294FB6">
              <w:rPr>
                <w:sz w:val="22"/>
                <w:lang w:val="en-US"/>
              </w:rPr>
              <w:t>XOR</w:t>
            </w:r>
            <w:r w:rsidRPr="00294FB6">
              <w:rPr>
                <w:sz w:val="22"/>
              </w:rPr>
              <w:t>) применяется в случаях, когда необходимо определить только один поток в зависимости от условия его использования. Для шлюза данного типа может выполняться только одна последующая операция.</w:t>
            </w:r>
          </w:p>
        </w:tc>
        <w:tc>
          <w:tcPr>
            <w:tcW w:w="3402" w:type="dxa"/>
            <w:vMerge/>
          </w:tcPr>
          <w:p w14:paraId="53FD15BA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567"/>
              <w:rPr>
                <w:sz w:val="22"/>
              </w:rPr>
            </w:pPr>
          </w:p>
        </w:tc>
      </w:tr>
      <w:tr w:rsidR="00196ED0" w:rsidRPr="00294FB6" w14:paraId="0E3A73DC" w14:textId="77777777" w:rsidTr="00216AB1">
        <w:tc>
          <w:tcPr>
            <w:tcW w:w="709" w:type="dxa"/>
          </w:tcPr>
          <w:p w14:paraId="79D93CB6" w14:textId="77777777" w:rsidR="00196ED0" w:rsidRPr="00294FB6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294FB6">
              <w:rPr>
                <w:sz w:val="22"/>
              </w:rPr>
              <w:lastRenderedPageBreak/>
              <w:t>19</w:t>
            </w:r>
          </w:p>
        </w:tc>
        <w:tc>
          <w:tcPr>
            <w:tcW w:w="2788" w:type="dxa"/>
          </w:tcPr>
          <w:p w14:paraId="1DFAFBB2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79744" behindDoc="0" locked="0" layoutInCell="1" allowOverlap="1" wp14:anchorId="39F8DBB8" wp14:editId="1B11E894">
                  <wp:simplePos x="0" y="0"/>
                  <wp:positionH relativeFrom="column">
                    <wp:posOffset>-11563</wp:posOffset>
                  </wp:positionH>
                  <wp:positionV relativeFrom="paragraph">
                    <wp:posOffset>59690</wp:posOffset>
                  </wp:positionV>
                  <wp:extent cx="1483360" cy="2258695"/>
                  <wp:effectExtent l="0" t="0" r="2540" b="8255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40968C98" w14:textId="77777777" w:rsidR="00196ED0" w:rsidRPr="00294FB6" w:rsidRDefault="00196ED0" w:rsidP="00294FB6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0"/>
              <w:rPr>
                <w:sz w:val="22"/>
              </w:rPr>
            </w:pPr>
            <w:r w:rsidRPr="00294FB6">
              <w:rPr>
                <w:b/>
                <w:bCs/>
                <w:sz w:val="22"/>
              </w:rPr>
              <w:t>«Неэксклюзивный шлюз»</w:t>
            </w:r>
            <w:r w:rsidRPr="00294FB6">
              <w:rPr>
                <w:sz w:val="22"/>
              </w:rPr>
              <w:t xml:space="preserve"> («Оператор ИЛИ», </w:t>
            </w:r>
            <w:r w:rsidRPr="00294FB6">
              <w:rPr>
                <w:sz w:val="22"/>
                <w:lang w:val="en-US"/>
              </w:rPr>
              <w:t>OR</w:t>
            </w:r>
            <w:r w:rsidRPr="00294FB6">
              <w:rPr>
                <w:sz w:val="22"/>
              </w:rPr>
              <w:t>) применяется в случаях, когда необходимо указать условие исполнения последующих операций. Для шлюза данного типа может продолжаться движение по одному или нескольким потокам, удовлетворяющим указанным условиям.</w:t>
            </w:r>
          </w:p>
        </w:tc>
        <w:tc>
          <w:tcPr>
            <w:tcW w:w="3402" w:type="dxa"/>
            <w:vMerge/>
          </w:tcPr>
          <w:p w14:paraId="6A9C6E25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ind w:firstLine="567"/>
              <w:rPr>
                <w:sz w:val="22"/>
              </w:rPr>
            </w:pPr>
          </w:p>
        </w:tc>
      </w:tr>
      <w:tr w:rsidR="00196ED0" w:rsidRPr="00196ED0" w14:paraId="68A779DD" w14:textId="77777777" w:rsidTr="00216AB1">
        <w:tc>
          <w:tcPr>
            <w:tcW w:w="709" w:type="dxa"/>
          </w:tcPr>
          <w:p w14:paraId="737B8068" w14:textId="77777777" w:rsidR="00196ED0" w:rsidRPr="00294FB6" w:rsidRDefault="00196ED0" w:rsidP="00216AB1">
            <w:pPr>
              <w:spacing w:beforeLines="40" w:before="96" w:afterLines="40" w:after="96" w:line="276" w:lineRule="auto"/>
              <w:jc w:val="center"/>
              <w:rPr>
                <w:sz w:val="22"/>
              </w:rPr>
            </w:pPr>
            <w:r w:rsidRPr="00294FB6">
              <w:rPr>
                <w:sz w:val="22"/>
              </w:rPr>
              <w:t>20</w:t>
            </w:r>
          </w:p>
        </w:tc>
        <w:tc>
          <w:tcPr>
            <w:tcW w:w="2788" w:type="dxa"/>
          </w:tcPr>
          <w:p w14:paraId="63FA0C8A" w14:textId="77777777" w:rsidR="00196ED0" w:rsidRPr="00294FB6" w:rsidRDefault="00196ED0" w:rsidP="00216AB1">
            <w:pPr>
              <w:spacing w:beforeLines="40" w:before="96" w:afterLines="40" w:after="96" w:line="276" w:lineRule="auto"/>
              <w:ind w:firstLine="567"/>
              <w:jc w:val="center"/>
              <w:rPr>
                <w:noProof/>
                <w:szCs w:val="28"/>
              </w:rPr>
            </w:pPr>
            <w:r w:rsidRPr="00294FB6">
              <w:rPr>
                <w:noProof/>
                <w:sz w:val="22"/>
              </w:rPr>
              <w:drawing>
                <wp:anchor distT="0" distB="0" distL="114300" distR="114300" simplePos="0" relativeHeight="251673600" behindDoc="0" locked="0" layoutInCell="1" allowOverlap="1" wp14:anchorId="19143B3A" wp14:editId="3830E22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165100</wp:posOffset>
                  </wp:positionV>
                  <wp:extent cx="1217930" cy="439420"/>
                  <wp:effectExtent l="0" t="0" r="127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AC00698" w14:textId="77777777" w:rsidR="00196ED0" w:rsidRPr="00294FB6" w:rsidRDefault="00196ED0" w:rsidP="00216AB1">
            <w:pPr>
              <w:autoSpaceDE w:val="0"/>
              <w:autoSpaceDN w:val="0"/>
              <w:adjustRightInd w:val="0"/>
              <w:spacing w:beforeLines="40" w:before="96" w:afterLines="40" w:after="96" w:line="276" w:lineRule="auto"/>
              <w:rPr>
                <w:b/>
                <w:bCs/>
                <w:sz w:val="22"/>
              </w:rPr>
            </w:pPr>
            <w:r w:rsidRPr="00294FB6">
              <w:rPr>
                <w:b/>
                <w:bCs/>
                <w:sz w:val="22"/>
              </w:rPr>
              <w:t xml:space="preserve">«Примечание» </w:t>
            </w:r>
            <w:r w:rsidRPr="00294FB6">
              <w:rPr>
                <w:sz w:val="22"/>
              </w:rPr>
              <w:t>–</w:t>
            </w:r>
            <w:r w:rsidRPr="00294FB6">
              <w:rPr>
                <w:b/>
                <w:bCs/>
                <w:sz w:val="22"/>
              </w:rPr>
              <w:t xml:space="preserve"> </w:t>
            </w:r>
            <w:r w:rsidRPr="00294FB6">
              <w:rPr>
                <w:bCs/>
                <w:sz w:val="22"/>
              </w:rPr>
              <w:t>элемент,</w:t>
            </w:r>
            <w:r w:rsidRPr="00294FB6">
              <w:rPr>
                <w:b/>
                <w:bCs/>
                <w:sz w:val="22"/>
              </w:rPr>
              <w:t xml:space="preserve"> </w:t>
            </w:r>
            <w:r w:rsidRPr="00294FB6">
              <w:rPr>
                <w:sz w:val="22"/>
              </w:rPr>
              <w:t>содержащий дополнительную текстовую информацию в свободной форме. Данный элемент служит комментарием и не влияет на подпроцесс.</w:t>
            </w:r>
          </w:p>
        </w:tc>
        <w:tc>
          <w:tcPr>
            <w:tcW w:w="3402" w:type="dxa"/>
          </w:tcPr>
          <w:p w14:paraId="03C99D62" w14:textId="77777777" w:rsidR="00196ED0" w:rsidRPr="00294FB6" w:rsidRDefault="00196ED0" w:rsidP="009D439C">
            <w:pPr>
              <w:pStyle w:val="a3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beforeLines="40" w:before="96" w:afterLines="40" w:after="96" w:line="276" w:lineRule="auto"/>
              <w:ind w:left="0" w:firstLine="567"/>
              <w:jc w:val="left"/>
              <w:rPr>
                <w:rFonts w:ascii="Times New Roman" w:hAnsi="Times New Roman" w:cs="Times New Roman"/>
                <w:sz w:val="22"/>
              </w:rPr>
            </w:pPr>
            <w:r w:rsidRPr="00294FB6">
              <w:rPr>
                <w:rFonts w:ascii="Times New Roman" w:hAnsi="Times New Roman" w:cs="Times New Roman"/>
                <w:b/>
                <w:sz w:val="22"/>
              </w:rPr>
              <w:t xml:space="preserve">Расположение – </w:t>
            </w:r>
            <w:r w:rsidRPr="00294FB6">
              <w:rPr>
                <w:rFonts w:ascii="Times New Roman" w:hAnsi="Times New Roman" w:cs="Times New Roman"/>
                <w:sz w:val="22"/>
              </w:rPr>
              <w:t>добавляется к выбранному элементу подпроцесса.</w:t>
            </w:r>
          </w:p>
        </w:tc>
      </w:tr>
    </w:tbl>
    <w:p w14:paraId="7BFAF523" w14:textId="64465B01" w:rsidR="00196ED0" w:rsidRPr="00294FB6" w:rsidRDefault="00196ED0" w:rsidP="00196ED0">
      <w:pPr>
        <w:rPr>
          <w:szCs w:val="28"/>
        </w:rPr>
        <w:sectPr w:rsidR="00196ED0" w:rsidRPr="00294FB6" w:rsidSect="005A1871">
          <w:footerReference w:type="default" r:id="rId34"/>
          <w:headerReference w:type="first" r:id="rId3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94FB6">
        <w:rPr>
          <w:szCs w:val="28"/>
        </w:rPr>
        <w:t xml:space="preserve">Инструкция по выбору набора элементов для описания подпроцесса при помощи </w:t>
      </w:r>
      <w:r w:rsidRPr="00294FB6">
        <w:rPr>
          <w:szCs w:val="28"/>
          <w:lang w:val="en-US"/>
        </w:rPr>
        <w:t>Microsoft</w:t>
      </w:r>
      <w:r w:rsidRPr="00294FB6">
        <w:rPr>
          <w:szCs w:val="28"/>
        </w:rPr>
        <w:t xml:space="preserve"> </w:t>
      </w:r>
      <w:r w:rsidRPr="00294FB6">
        <w:rPr>
          <w:szCs w:val="28"/>
          <w:lang w:val="en-US"/>
        </w:rPr>
        <w:t>Visio</w:t>
      </w:r>
      <w:r w:rsidRPr="00294FB6">
        <w:rPr>
          <w:szCs w:val="28"/>
        </w:rPr>
        <w:t xml:space="preserve"> изложена в приложении № </w:t>
      </w:r>
      <w:r w:rsidR="00D71A3A">
        <w:rPr>
          <w:szCs w:val="28"/>
        </w:rPr>
        <w:t>1.</w:t>
      </w:r>
      <w:r w:rsidRPr="00294FB6">
        <w:rPr>
          <w:szCs w:val="28"/>
        </w:rPr>
        <w:t>2.</w:t>
      </w:r>
    </w:p>
    <w:p w14:paraId="11379D61" w14:textId="034F42BD" w:rsidR="00196ED0" w:rsidRPr="00C9074A" w:rsidRDefault="00196ED0" w:rsidP="00C9074A">
      <w:pPr>
        <w:pStyle w:val="a3"/>
        <w:spacing w:before="0"/>
        <w:ind w:left="357" w:firstLine="0"/>
        <w:contextualSpacing w:val="0"/>
        <w:jc w:val="right"/>
        <w:outlineLvl w:val="0"/>
        <w:rPr>
          <w:rFonts w:ascii="Times New Roman" w:hAnsi="Times New Roman" w:cs="Times New Roman"/>
          <w:b/>
          <w:szCs w:val="28"/>
        </w:rPr>
      </w:pPr>
      <w:bookmarkStart w:id="20" w:name="_Toc60070192"/>
      <w:bookmarkStart w:id="21" w:name="_Toc179991531"/>
      <w:r w:rsidRPr="00C9074A">
        <w:rPr>
          <w:rFonts w:ascii="Times New Roman" w:hAnsi="Times New Roman" w:cs="Times New Roman"/>
          <w:b/>
          <w:szCs w:val="28"/>
        </w:rPr>
        <w:lastRenderedPageBreak/>
        <w:t>Приложение № 1</w:t>
      </w:r>
      <w:bookmarkEnd w:id="20"/>
      <w:r w:rsidR="00C9074A">
        <w:rPr>
          <w:rFonts w:ascii="Times New Roman" w:hAnsi="Times New Roman" w:cs="Times New Roman"/>
          <w:b/>
          <w:szCs w:val="28"/>
        </w:rPr>
        <w:t>.</w:t>
      </w:r>
      <w:r w:rsidR="00136C97">
        <w:rPr>
          <w:rFonts w:ascii="Times New Roman" w:hAnsi="Times New Roman" w:cs="Times New Roman"/>
          <w:b/>
          <w:szCs w:val="28"/>
        </w:rPr>
        <w:t>1.</w:t>
      </w:r>
      <w:r w:rsidR="00C9074A">
        <w:rPr>
          <w:rFonts w:ascii="Times New Roman" w:hAnsi="Times New Roman" w:cs="Times New Roman"/>
          <w:b/>
          <w:szCs w:val="28"/>
        </w:rPr>
        <w:t xml:space="preserve"> </w:t>
      </w:r>
      <w:r w:rsidRPr="00C9074A">
        <w:rPr>
          <w:rFonts w:ascii="Times New Roman" w:hAnsi="Times New Roman" w:cs="Times New Roman"/>
          <w:b/>
          <w:szCs w:val="28"/>
        </w:rPr>
        <w:t>Карта подпроцесса «Создание и согласование карты подпроцесса»</w:t>
      </w:r>
      <w:bookmarkEnd w:id="21"/>
    </w:p>
    <w:p w14:paraId="1D9D42CB" w14:textId="77777777" w:rsidR="00196ED0" w:rsidRPr="00294FB6" w:rsidRDefault="00196ED0" w:rsidP="00C9074A">
      <w:pPr>
        <w:ind w:firstLine="0"/>
        <w:rPr>
          <w:szCs w:val="28"/>
        </w:rPr>
      </w:pPr>
    </w:p>
    <w:p w14:paraId="35183432" w14:textId="77777777" w:rsidR="00196ED0" w:rsidRPr="00294FB6" w:rsidRDefault="00196ED0" w:rsidP="005A1871">
      <w:pPr>
        <w:ind w:firstLine="0"/>
        <w:jc w:val="center"/>
        <w:rPr>
          <w:szCs w:val="28"/>
        </w:rPr>
      </w:pPr>
      <w:r w:rsidRPr="00294FB6">
        <w:rPr>
          <w:sz w:val="22"/>
        </w:rPr>
        <w:object w:dxaOrig="20896" w:dyaOrig="13696" w14:anchorId="4660FA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.2pt;height:411.8pt" o:ole="">
            <v:imagedata r:id="rId36" o:title=""/>
          </v:shape>
          <o:OLEObject Type="Embed" ProgID="Visio.Drawing.15" ShapeID="_x0000_i1025" DrawAspect="Content" ObjectID="_1834661918" r:id="rId37"/>
        </w:object>
      </w:r>
    </w:p>
    <w:p w14:paraId="7C9742D1" w14:textId="77777777" w:rsidR="00196ED0" w:rsidRPr="00294FB6" w:rsidRDefault="00196ED0" w:rsidP="005A1871">
      <w:pPr>
        <w:spacing w:beforeLines="40" w:before="96" w:afterLines="40" w:after="96" w:line="276" w:lineRule="auto"/>
        <w:ind w:firstLine="0"/>
        <w:jc w:val="center"/>
        <w:rPr>
          <w:szCs w:val="28"/>
        </w:rPr>
      </w:pPr>
      <w:r w:rsidRPr="00294FB6">
        <w:rPr>
          <w:sz w:val="22"/>
        </w:rPr>
        <w:object w:dxaOrig="25531" w:dyaOrig="13696" w14:anchorId="116FAA7A">
          <v:shape id="_x0000_i1026" type="#_x0000_t75" style="width:701.15pt;height:390.95pt" o:ole="">
            <v:imagedata r:id="rId38" o:title=""/>
          </v:shape>
          <o:OLEObject Type="Embed" ProgID="Visio.Drawing.15" ShapeID="_x0000_i1026" DrawAspect="Content" ObjectID="_1834661919" r:id="rId39"/>
        </w:object>
      </w:r>
      <w:r w:rsidRPr="00294FB6">
        <w:rPr>
          <w:szCs w:val="28"/>
        </w:rPr>
        <w:t xml:space="preserve"> </w:t>
      </w:r>
    </w:p>
    <w:p w14:paraId="51EB5844" w14:textId="77777777" w:rsidR="00196ED0" w:rsidRPr="004B520A" w:rsidRDefault="00196ED0" w:rsidP="00196ED0">
      <w:pPr>
        <w:spacing w:beforeLines="40" w:before="96" w:afterLines="40" w:after="96" w:line="276" w:lineRule="auto"/>
        <w:ind w:firstLine="142"/>
        <w:rPr>
          <w:sz w:val="22"/>
        </w:rPr>
        <w:sectPr w:rsidR="00196ED0" w:rsidRPr="004B520A" w:rsidSect="00216AB1">
          <w:pgSz w:w="16838" w:h="11906" w:orient="landscape"/>
          <w:pgMar w:top="1135" w:right="962" w:bottom="1134" w:left="1701" w:header="708" w:footer="708" w:gutter="0"/>
          <w:cols w:space="708"/>
          <w:docGrid w:linePitch="360"/>
        </w:sectPr>
      </w:pPr>
      <w:r w:rsidRPr="00294FB6">
        <w:rPr>
          <w:sz w:val="22"/>
        </w:rPr>
        <w:object w:dxaOrig="4681" w:dyaOrig="1951" w14:anchorId="03EBD4E1">
          <v:shape id="_x0000_i1027" type="#_x0000_t75" style="width:178.3pt;height:74pt" o:ole="">
            <v:imagedata r:id="rId40" o:title=""/>
          </v:shape>
          <o:OLEObject Type="Embed" ProgID="Visio.Drawing.15" ShapeID="_x0000_i1027" DrawAspect="Content" ObjectID="_1834661920" r:id="rId41"/>
        </w:object>
      </w:r>
    </w:p>
    <w:p w14:paraId="0EC3569F" w14:textId="2750ECCE" w:rsidR="00196ED0" w:rsidRPr="00C9074A" w:rsidRDefault="00196ED0" w:rsidP="00C9074A">
      <w:pPr>
        <w:pStyle w:val="a3"/>
        <w:spacing w:before="0"/>
        <w:ind w:left="357" w:firstLine="0"/>
        <w:contextualSpacing w:val="0"/>
        <w:jc w:val="right"/>
        <w:outlineLvl w:val="0"/>
        <w:rPr>
          <w:rFonts w:ascii="Times New Roman" w:hAnsi="Times New Roman" w:cs="Times New Roman"/>
          <w:b/>
          <w:szCs w:val="28"/>
        </w:rPr>
      </w:pPr>
      <w:bookmarkStart w:id="22" w:name="_Toc60070193"/>
      <w:bookmarkStart w:id="23" w:name="_Toc179991532"/>
      <w:r w:rsidRPr="00C9074A">
        <w:rPr>
          <w:rFonts w:ascii="Times New Roman" w:hAnsi="Times New Roman" w:cs="Times New Roman"/>
          <w:b/>
          <w:szCs w:val="28"/>
        </w:rPr>
        <w:lastRenderedPageBreak/>
        <w:t xml:space="preserve">Приложение № </w:t>
      </w:r>
      <w:r w:rsidR="00136C97">
        <w:rPr>
          <w:rFonts w:ascii="Times New Roman" w:hAnsi="Times New Roman" w:cs="Times New Roman"/>
          <w:b/>
          <w:szCs w:val="28"/>
        </w:rPr>
        <w:t>1.</w:t>
      </w:r>
      <w:r w:rsidRPr="00C9074A">
        <w:rPr>
          <w:rFonts w:ascii="Times New Roman" w:hAnsi="Times New Roman" w:cs="Times New Roman"/>
          <w:b/>
          <w:szCs w:val="28"/>
        </w:rPr>
        <w:t>2</w:t>
      </w:r>
      <w:bookmarkEnd w:id="22"/>
      <w:r w:rsidR="00C9074A">
        <w:rPr>
          <w:rFonts w:ascii="Times New Roman" w:hAnsi="Times New Roman" w:cs="Times New Roman"/>
          <w:b/>
          <w:szCs w:val="28"/>
        </w:rPr>
        <w:t xml:space="preserve">. </w:t>
      </w:r>
      <w:r w:rsidRPr="00C9074A">
        <w:rPr>
          <w:rFonts w:ascii="Times New Roman" w:hAnsi="Times New Roman" w:cs="Times New Roman"/>
          <w:b/>
          <w:szCs w:val="28"/>
        </w:rPr>
        <w:t>Инструкция по выбору набора элементов</w:t>
      </w:r>
      <w:bookmarkEnd w:id="23"/>
    </w:p>
    <w:p w14:paraId="76DED9C4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jc w:val="center"/>
        <w:rPr>
          <w:szCs w:val="28"/>
        </w:rPr>
      </w:pPr>
    </w:p>
    <w:p w14:paraId="5E552365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b/>
          <w:szCs w:val="28"/>
        </w:rPr>
      </w:pPr>
      <w:r w:rsidRPr="00294FB6"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095264F4" wp14:editId="38F7945F">
            <wp:simplePos x="0" y="0"/>
            <wp:positionH relativeFrom="column">
              <wp:posOffset>1986915</wp:posOffset>
            </wp:positionH>
            <wp:positionV relativeFrom="paragraph">
              <wp:posOffset>41275</wp:posOffset>
            </wp:positionV>
            <wp:extent cx="3865245" cy="3419475"/>
            <wp:effectExtent l="19050" t="19050" r="20955" b="285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53" b="43764"/>
                    <a:stretch/>
                  </pic:blipFill>
                  <pic:spPr bwMode="auto">
                    <a:xfrm>
                      <a:off x="0" y="0"/>
                      <a:ext cx="3865245" cy="3419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FB6">
        <w:rPr>
          <w:b/>
          <w:szCs w:val="28"/>
        </w:rPr>
        <w:t>Шаг 1</w:t>
      </w:r>
    </w:p>
    <w:p w14:paraId="033BC8D0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  <w:r w:rsidRPr="00294FB6">
        <w:rPr>
          <w:szCs w:val="28"/>
        </w:rPr>
        <w:t xml:space="preserve">Открыть любой файл </w:t>
      </w:r>
      <w:r w:rsidRPr="00294FB6">
        <w:rPr>
          <w:szCs w:val="28"/>
          <w:lang w:val="en-US"/>
        </w:rPr>
        <w:t>Microsoft</w:t>
      </w:r>
      <w:r w:rsidRPr="00294FB6">
        <w:rPr>
          <w:szCs w:val="28"/>
        </w:rPr>
        <w:t xml:space="preserve"> </w:t>
      </w:r>
      <w:r w:rsidRPr="00294FB6">
        <w:rPr>
          <w:szCs w:val="28"/>
          <w:lang w:val="en-US"/>
        </w:rPr>
        <w:t>Visio</w:t>
      </w:r>
      <w:r w:rsidRPr="00294FB6">
        <w:rPr>
          <w:szCs w:val="28"/>
        </w:rPr>
        <w:t xml:space="preserve"> и выбрать во вкладке «Фигуры (Набор элементов)» команду «Дополнительные фигуры». Выбрать из выпадающего списка команду «Открыть набор элементов».</w:t>
      </w:r>
    </w:p>
    <w:p w14:paraId="2793955A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63D5639B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0C5B0DD9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  <w:r w:rsidRPr="00294FB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03CF0A" wp14:editId="28880460">
                <wp:simplePos x="0" y="0"/>
                <wp:positionH relativeFrom="column">
                  <wp:posOffset>292735</wp:posOffset>
                </wp:positionH>
                <wp:positionV relativeFrom="paragraph">
                  <wp:posOffset>29845</wp:posOffset>
                </wp:positionV>
                <wp:extent cx="1570869" cy="3810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86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7C6FD" w14:textId="77777777" w:rsidR="00136C97" w:rsidRDefault="00136C97" w:rsidP="005A1871">
                            <w:pPr>
                              <w:ind w:firstLine="0"/>
                            </w:pPr>
                            <w:r w:rsidRPr="00F433CC">
                              <w:rPr>
                                <w:i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i/>
                                <w:szCs w:val="28"/>
                              </w:rPr>
                              <w:t>4</w:t>
                            </w:r>
                            <w:r w:rsidRPr="00F433CC">
                              <w:rPr>
                                <w:i/>
                                <w:szCs w:val="28"/>
                              </w:rPr>
                              <w:t xml:space="preserve"> «Шаг 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3CF0A" id="Надпись 23" o:spid="_x0000_s1028" type="#_x0000_t202" style="position:absolute;left:0;text-align:left;margin-left:23.05pt;margin-top:2.35pt;width:123.7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" filled="f" stroked="f" strokeweight=".5pt">
                <v:textbox>
                  <w:txbxContent>
                    <w:p w14:paraId="4147C6FD" w14:textId="77777777" w:rsidR="00136C97" w:rsidRDefault="00136C97" w:rsidP="005A1871">
                      <w:pPr>
                        <w:ind w:firstLine="0"/>
                      </w:pPr>
                      <w:r w:rsidRPr="00F433CC">
                        <w:rPr>
                          <w:i/>
                          <w:szCs w:val="28"/>
                        </w:rPr>
                        <w:t xml:space="preserve">Рисунок </w:t>
                      </w:r>
                      <w:r>
                        <w:rPr>
                          <w:i/>
                          <w:szCs w:val="28"/>
                        </w:rPr>
                        <w:t>4</w:t>
                      </w:r>
                      <w:r w:rsidRPr="00F433CC">
                        <w:rPr>
                          <w:i/>
                          <w:szCs w:val="28"/>
                        </w:rPr>
                        <w:t xml:space="preserve"> «Шаг 1»</w:t>
                      </w:r>
                    </w:p>
                  </w:txbxContent>
                </v:textbox>
              </v:shape>
            </w:pict>
          </mc:Fallback>
        </mc:AlternateContent>
      </w:r>
    </w:p>
    <w:p w14:paraId="1C2EFDD3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b/>
          <w:szCs w:val="28"/>
        </w:rPr>
      </w:pPr>
    </w:p>
    <w:p w14:paraId="51CC3FC6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b/>
          <w:szCs w:val="28"/>
        </w:rPr>
      </w:pPr>
    </w:p>
    <w:p w14:paraId="23B76AA5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b/>
          <w:szCs w:val="28"/>
        </w:rPr>
      </w:pPr>
      <w:r w:rsidRPr="00294FB6">
        <w:rPr>
          <w:noProof/>
          <w:sz w:val="22"/>
        </w:rPr>
        <w:drawing>
          <wp:anchor distT="0" distB="0" distL="114300" distR="114300" simplePos="0" relativeHeight="251665408" behindDoc="1" locked="0" layoutInCell="1" allowOverlap="1" wp14:anchorId="05ACFA0D" wp14:editId="580180BD">
            <wp:simplePos x="0" y="0"/>
            <wp:positionH relativeFrom="column">
              <wp:posOffset>1863090</wp:posOffset>
            </wp:positionH>
            <wp:positionV relativeFrom="paragraph">
              <wp:posOffset>109855</wp:posOffset>
            </wp:positionV>
            <wp:extent cx="3992880" cy="2663825"/>
            <wp:effectExtent l="19050" t="19050" r="26670" b="222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2880" cy="26638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FB6">
        <w:rPr>
          <w:b/>
          <w:szCs w:val="28"/>
        </w:rPr>
        <w:t xml:space="preserve">Шаг 2 </w:t>
      </w:r>
    </w:p>
    <w:p w14:paraId="4E82FC01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  <w:r w:rsidRPr="00294FB6">
        <w:rPr>
          <w:szCs w:val="28"/>
        </w:rPr>
        <w:t>Выбрать и открыть файл, содержащий необходимый набор элементов «Набор элементов нотации».vss</w:t>
      </w:r>
    </w:p>
    <w:p w14:paraId="120A97D2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3B6F0484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2D0D22C2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6BFB280B" w14:textId="4B932DAF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1D3C1759" w14:textId="00697CF9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255873CC" w14:textId="684C6C69" w:rsidR="00196ED0" w:rsidRDefault="005A1871" w:rsidP="00196ED0">
      <w:pPr>
        <w:spacing w:beforeLines="40" w:before="96" w:afterLines="40" w:after="96" w:line="276" w:lineRule="auto"/>
        <w:ind w:firstLine="567"/>
        <w:rPr>
          <w:szCs w:val="28"/>
        </w:rPr>
      </w:pPr>
      <w:r w:rsidRPr="00294FB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B4BF75" wp14:editId="7D6AC7B5">
                <wp:simplePos x="0" y="0"/>
                <wp:positionH relativeFrom="column">
                  <wp:posOffset>3291840</wp:posOffset>
                </wp:positionH>
                <wp:positionV relativeFrom="paragraph">
                  <wp:posOffset>189230</wp:posOffset>
                </wp:positionV>
                <wp:extent cx="1570869" cy="40957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86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90DEC" w14:textId="77777777" w:rsidR="00136C97" w:rsidRDefault="00136C97" w:rsidP="005A1871">
                            <w:pPr>
                              <w:ind w:firstLine="0"/>
                            </w:pPr>
                            <w:r w:rsidRPr="00F433CC">
                              <w:rPr>
                                <w:i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i/>
                                <w:szCs w:val="28"/>
                              </w:rPr>
                              <w:t>5</w:t>
                            </w:r>
                            <w:r w:rsidRPr="00F433CC">
                              <w:rPr>
                                <w:i/>
                                <w:szCs w:val="28"/>
                              </w:rPr>
                              <w:t xml:space="preserve"> «Шаг 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BF75" id="Надпись 22" o:spid="_x0000_s1029" type="#_x0000_t202" style="position:absolute;left:0;text-align:left;margin-left:259.2pt;margin-top:14.9pt;width:123.7pt;height:32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" filled="f" stroked="f" strokeweight=".5pt">
                <v:textbox>
                  <w:txbxContent>
                    <w:p w14:paraId="00090DEC" w14:textId="77777777" w:rsidR="00136C97" w:rsidRDefault="00136C97" w:rsidP="005A1871">
                      <w:pPr>
                        <w:ind w:firstLine="0"/>
                      </w:pPr>
                      <w:r w:rsidRPr="00F433CC">
                        <w:rPr>
                          <w:i/>
                          <w:szCs w:val="28"/>
                        </w:rPr>
                        <w:t xml:space="preserve">Рисунок </w:t>
                      </w:r>
                      <w:r>
                        <w:rPr>
                          <w:i/>
                          <w:szCs w:val="28"/>
                        </w:rPr>
                        <w:t>5</w:t>
                      </w:r>
                      <w:r w:rsidRPr="00F433CC">
                        <w:rPr>
                          <w:i/>
                          <w:szCs w:val="28"/>
                        </w:rPr>
                        <w:t xml:space="preserve"> «Шаг 2»</w:t>
                      </w:r>
                    </w:p>
                  </w:txbxContent>
                </v:textbox>
              </v:shape>
            </w:pict>
          </mc:Fallback>
        </mc:AlternateContent>
      </w:r>
    </w:p>
    <w:p w14:paraId="4D5F1101" w14:textId="77777777" w:rsidR="00A13F51" w:rsidRDefault="00A13F51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531C4088" w14:textId="77777777" w:rsidR="00A13F51" w:rsidRDefault="00A13F51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7DE49431" w14:textId="77777777" w:rsidR="00A13F51" w:rsidRDefault="00A13F51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4516267E" w14:textId="77777777" w:rsidR="00A13F51" w:rsidRDefault="00A13F51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7DCF9200" w14:textId="77777777" w:rsidR="00A13F51" w:rsidRDefault="00A13F51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1F210F3A" w14:textId="77777777" w:rsidR="00A13F51" w:rsidRPr="00294FB6" w:rsidRDefault="00A13F51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48537249" w14:textId="77777777" w:rsidR="00C9074A" w:rsidRDefault="00C9074A">
      <w:pPr>
        <w:spacing w:before="0" w:after="0"/>
        <w:ind w:firstLine="0"/>
        <w:jc w:val="left"/>
        <w:rPr>
          <w:rFonts w:eastAsiaTheme="minorHAnsi"/>
          <w:b/>
          <w:szCs w:val="28"/>
          <w:lang w:eastAsia="en-US"/>
        </w:rPr>
      </w:pPr>
      <w:bookmarkStart w:id="24" w:name="_Toc60070194"/>
      <w:r>
        <w:rPr>
          <w:b/>
          <w:szCs w:val="28"/>
        </w:rPr>
        <w:br w:type="page"/>
      </w:r>
    </w:p>
    <w:p w14:paraId="58998D47" w14:textId="102E96CF" w:rsidR="00196ED0" w:rsidRPr="00C9074A" w:rsidRDefault="00196ED0" w:rsidP="00C9074A">
      <w:pPr>
        <w:pStyle w:val="a3"/>
        <w:spacing w:before="0"/>
        <w:ind w:left="357" w:firstLine="0"/>
        <w:contextualSpacing w:val="0"/>
        <w:jc w:val="right"/>
        <w:outlineLvl w:val="0"/>
        <w:rPr>
          <w:rFonts w:ascii="Times New Roman" w:hAnsi="Times New Roman" w:cs="Times New Roman"/>
          <w:b/>
          <w:szCs w:val="28"/>
        </w:rPr>
      </w:pPr>
      <w:bookmarkStart w:id="25" w:name="_Toc179991533"/>
      <w:r w:rsidRPr="00C9074A">
        <w:rPr>
          <w:rFonts w:ascii="Times New Roman" w:hAnsi="Times New Roman" w:cs="Times New Roman"/>
          <w:b/>
          <w:szCs w:val="28"/>
        </w:rPr>
        <w:lastRenderedPageBreak/>
        <w:t xml:space="preserve">Приложение № </w:t>
      </w:r>
      <w:r w:rsidR="00136C97">
        <w:rPr>
          <w:rFonts w:ascii="Times New Roman" w:hAnsi="Times New Roman" w:cs="Times New Roman"/>
          <w:b/>
          <w:szCs w:val="28"/>
        </w:rPr>
        <w:t>1.</w:t>
      </w:r>
      <w:r w:rsidRPr="00C9074A">
        <w:rPr>
          <w:rFonts w:ascii="Times New Roman" w:hAnsi="Times New Roman" w:cs="Times New Roman"/>
          <w:b/>
          <w:szCs w:val="28"/>
        </w:rPr>
        <w:t>3</w:t>
      </w:r>
      <w:bookmarkEnd w:id="24"/>
      <w:r w:rsidR="00C9074A">
        <w:rPr>
          <w:rFonts w:ascii="Times New Roman" w:hAnsi="Times New Roman" w:cs="Times New Roman"/>
          <w:b/>
          <w:szCs w:val="28"/>
        </w:rPr>
        <w:t xml:space="preserve">. </w:t>
      </w:r>
      <w:r w:rsidRPr="00C9074A">
        <w:rPr>
          <w:rFonts w:ascii="Times New Roman" w:hAnsi="Times New Roman" w:cs="Times New Roman"/>
          <w:b/>
          <w:szCs w:val="28"/>
        </w:rPr>
        <w:t>Инструкция по заполнению атрибутов элемента нотации</w:t>
      </w:r>
      <w:bookmarkEnd w:id="25"/>
    </w:p>
    <w:p w14:paraId="15CDC89E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jc w:val="right"/>
        <w:rPr>
          <w:szCs w:val="28"/>
        </w:rPr>
      </w:pPr>
      <w:r w:rsidRPr="00294FB6"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222123B7" wp14:editId="6C63DD66">
            <wp:simplePos x="0" y="0"/>
            <wp:positionH relativeFrom="column">
              <wp:posOffset>2864485</wp:posOffset>
            </wp:positionH>
            <wp:positionV relativeFrom="paragraph">
              <wp:posOffset>256540</wp:posOffset>
            </wp:positionV>
            <wp:extent cx="2811145" cy="3440430"/>
            <wp:effectExtent l="19050" t="19050" r="27305" b="2667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4404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177D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b/>
          <w:szCs w:val="28"/>
        </w:rPr>
      </w:pPr>
      <w:r w:rsidRPr="00294FB6">
        <w:rPr>
          <w:b/>
          <w:szCs w:val="28"/>
        </w:rPr>
        <w:t>Шаг 1</w:t>
      </w:r>
    </w:p>
    <w:p w14:paraId="230FD1D5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  <w:r w:rsidRPr="00294FB6">
        <w:rPr>
          <w:szCs w:val="28"/>
        </w:rPr>
        <w:t xml:space="preserve">Одним щелчком правой кнопкой мыши по элементу вызвать выпадающий список. Затем выбрать команду «Атрибуты </w:t>
      </w:r>
      <w:r w:rsidRPr="00294FB6">
        <w:rPr>
          <w:szCs w:val="28"/>
          <w:lang w:val="en-US"/>
        </w:rPr>
        <w:t>BPMN</w:t>
      </w:r>
      <w:r w:rsidRPr="00294FB6">
        <w:rPr>
          <w:szCs w:val="28"/>
        </w:rPr>
        <w:t>».</w:t>
      </w:r>
    </w:p>
    <w:p w14:paraId="30F18D6E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3DCB7F84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42E7BA87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4EEBA323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40DE443D" w14:textId="7F9447DA" w:rsidR="00196ED0" w:rsidRPr="00294FB6" w:rsidRDefault="005A1871" w:rsidP="00196ED0">
      <w:pPr>
        <w:spacing w:beforeLines="40" w:before="96" w:afterLines="40" w:after="96" w:line="276" w:lineRule="auto"/>
        <w:ind w:firstLine="567"/>
        <w:rPr>
          <w:szCs w:val="28"/>
        </w:rPr>
      </w:pPr>
      <w:r w:rsidRPr="00294FB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17B8E" wp14:editId="540756FC">
                <wp:simplePos x="0" y="0"/>
                <wp:positionH relativeFrom="column">
                  <wp:posOffset>1120140</wp:posOffset>
                </wp:positionH>
                <wp:positionV relativeFrom="paragraph">
                  <wp:posOffset>234315</wp:posOffset>
                </wp:positionV>
                <wp:extent cx="1447800" cy="4191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A37A3" w14:textId="13E21257" w:rsidR="00136C97" w:rsidRPr="005A1871" w:rsidRDefault="00136C97" w:rsidP="005A1871">
                            <w:pPr>
                              <w:ind w:firstLine="0"/>
                              <w:rPr>
                                <w:i/>
                                <w:szCs w:val="28"/>
                              </w:rPr>
                            </w:pPr>
                            <w:r w:rsidRPr="0022125F">
                              <w:rPr>
                                <w:i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i/>
                                <w:szCs w:val="28"/>
                              </w:rPr>
                              <w:t>6</w:t>
                            </w:r>
                            <w:r w:rsidR="005A1871">
                              <w:rPr>
                                <w:i/>
                                <w:szCs w:val="28"/>
                              </w:rPr>
                              <w:t xml:space="preserve"> </w:t>
                            </w:r>
                            <w:r w:rsidRPr="0022125F">
                              <w:rPr>
                                <w:i/>
                                <w:szCs w:val="28"/>
                              </w:rPr>
                              <w:t>«Шаг 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7B8E" id="Надпись 18" o:spid="_x0000_s1030" type="#_x0000_t202" style="position:absolute;left:0;text-align:left;margin-left:88.2pt;margin-top:18.45pt;width:114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" filled="f" stroked="f" strokeweight=".5pt">
                <v:textbox>
                  <w:txbxContent>
                    <w:p w14:paraId="087A37A3" w14:textId="13E21257" w:rsidR="00136C97" w:rsidRPr="005A1871" w:rsidRDefault="00136C97" w:rsidP="005A1871">
                      <w:pPr>
                        <w:ind w:firstLine="0"/>
                        <w:rPr>
                          <w:i/>
                          <w:szCs w:val="28"/>
                        </w:rPr>
                      </w:pPr>
                      <w:r w:rsidRPr="0022125F">
                        <w:rPr>
                          <w:i/>
                          <w:szCs w:val="28"/>
                        </w:rPr>
                        <w:t xml:space="preserve">Рисунок </w:t>
                      </w:r>
                      <w:r>
                        <w:rPr>
                          <w:i/>
                          <w:szCs w:val="28"/>
                        </w:rPr>
                        <w:t>6</w:t>
                      </w:r>
                      <w:r w:rsidR="005A1871">
                        <w:rPr>
                          <w:i/>
                          <w:szCs w:val="28"/>
                        </w:rPr>
                        <w:t xml:space="preserve"> </w:t>
                      </w:r>
                      <w:r w:rsidRPr="0022125F">
                        <w:rPr>
                          <w:i/>
                          <w:szCs w:val="28"/>
                        </w:rPr>
                        <w:t>«Шаг 1»</w:t>
                      </w:r>
                    </w:p>
                  </w:txbxContent>
                </v:textbox>
              </v:shape>
            </w:pict>
          </mc:Fallback>
        </mc:AlternateContent>
      </w:r>
    </w:p>
    <w:p w14:paraId="29ECBFCA" w14:textId="2170CDCF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7A8663DF" w14:textId="0595F481" w:rsidR="00196ED0" w:rsidRPr="00294FB6" w:rsidRDefault="00196ED0" w:rsidP="00196ED0">
      <w:pPr>
        <w:spacing w:beforeLines="40" w:before="96" w:afterLines="40" w:after="96" w:line="276" w:lineRule="auto"/>
        <w:rPr>
          <w:szCs w:val="28"/>
        </w:rPr>
      </w:pPr>
    </w:p>
    <w:p w14:paraId="10B26AC2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</w:p>
    <w:p w14:paraId="27B65AFC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b/>
          <w:szCs w:val="28"/>
        </w:rPr>
      </w:pPr>
      <w:r w:rsidRPr="00294FB6">
        <w:rPr>
          <w:b/>
          <w:noProof/>
          <w:szCs w:val="28"/>
        </w:rPr>
        <w:drawing>
          <wp:anchor distT="0" distB="0" distL="114300" distR="114300" simplePos="0" relativeHeight="251681792" behindDoc="0" locked="0" layoutInCell="1" allowOverlap="1" wp14:anchorId="37A1C7D3" wp14:editId="547BB973">
            <wp:simplePos x="0" y="0"/>
            <wp:positionH relativeFrom="column">
              <wp:posOffset>2481580</wp:posOffset>
            </wp:positionH>
            <wp:positionV relativeFrom="paragraph">
              <wp:posOffset>61506</wp:posOffset>
            </wp:positionV>
            <wp:extent cx="3437890" cy="2225040"/>
            <wp:effectExtent l="19050" t="19050" r="10160" b="2286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" r="880" b="1090"/>
                    <a:stretch/>
                  </pic:blipFill>
                  <pic:spPr>
                    <a:xfrm>
                      <a:off x="0" y="0"/>
                      <a:ext cx="3437890" cy="2225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FB6">
        <w:rPr>
          <w:b/>
          <w:szCs w:val="28"/>
        </w:rPr>
        <w:t xml:space="preserve">Шаг 2 </w:t>
      </w:r>
    </w:p>
    <w:p w14:paraId="19CD4C77" w14:textId="77777777" w:rsidR="00196ED0" w:rsidRPr="00294FB6" w:rsidRDefault="00196ED0" w:rsidP="00196ED0">
      <w:pPr>
        <w:spacing w:beforeLines="40" w:before="96" w:afterLines="40" w:after="96" w:line="276" w:lineRule="auto"/>
        <w:ind w:firstLine="567"/>
        <w:rPr>
          <w:szCs w:val="28"/>
        </w:rPr>
      </w:pPr>
      <w:r w:rsidRPr="00294FB6">
        <w:rPr>
          <w:szCs w:val="28"/>
        </w:rPr>
        <w:t>Далее во всплывающем окне атрибуты элементов заполняются данными:</w:t>
      </w:r>
    </w:p>
    <w:p w14:paraId="73FB3FAD" w14:textId="77777777" w:rsidR="00196ED0" w:rsidRPr="00294FB6" w:rsidRDefault="00196ED0" w:rsidP="009D439C">
      <w:pPr>
        <w:pStyle w:val="a3"/>
        <w:numPr>
          <w:ilvl w:val="0"/>
          <w:numId w:val="46"/>
        </w:numPr>
        <w:spacing w:beforeLines="40" w:before="96" w:afterLines="40" w:after="96" w:line="276" w:lineRule="auto"/>
        <w:ind w:left="0" w:firstLine="567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 xml:space="preserve">«Чистое время» </w:t>
      </w:r>
      <w:r w:rsidRPr="00294FB6">
        <w:rPr>
          <w:rFonts w:ascii="Times New Roman" w:hAnsi="Times New Roman" w:cs="Times New Roman"/>
          <w:sz w:val="22"/>
        </w:rPr>
        <w:t>–</w:t>
      </w:r>
      <w:r w:rsidRPr="00294FB6">
        <w:rPr>
          <w:rFonts w:ascii="Times New Roman" w:hAnsi="Times New Roman" w:cs="Times New Roman"/>
          <w:szCs w:val="28"/>
        </w:rPr>
        <w:t xml:space="preserve"> чистое время, затраченное на выполнение операции;</w:t>
      </w:r>
    </w:p>
    <w:p w14:paraId="08C6D6DF" w14:textId="17837395" w:rsidR="00196ED0" w:rsidRPr="00294FB6" w:rsidRDefault="00196ED0" w:rsidP="009D439C">
      <w:pPr>
        <w:pStyle w:val="a3"/>
        <w:numPr>
          <w:ilvl w:val="0"/>
          <w:numId w:val="46"/>
        </w:numPr>
        <w:spacing w:beforeLines="40" w:before="96" w:afterLines="40" w:after="96" w:line="276" w:lineRule="auto"/>
        <w:ind w:left="0" w:firstLine="567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 xml:space="preserve">«ИС» </w:t>
      </w:r>
      <w:r w:rsidRPr="00294FB6">
        <w:rPr>
          <w:rFonts w:ascii="Times New Roman" w:hAnsi="Times New Roman" w:cs="Times New Roman"/>
          <w:sz w:val="22"/>
        </w:rPr>
        <w:t>–</w:t>
      </w:r>
      <w:r w:rsidRPr="00294FB6">
        <w:rPr>
          <w:rFonts w:ascii="Times New Roman" w:hAnsi="Times New Roman" w:cs="Times New Roman"/>
          <w:szCs w:val="28"/>
        </w:rPr>
        <w:t xml:space="preserve"> наименование ИС Общества, в которой происходит выполнение </w:t>
      </w:r>
    </w:p>
    <w:p w14:paraId="4F2DE8C6" w14:textId="28F5D0B4" w:rsidR="00196ED0" w:rsidRPr="00294FB6" w:rsidRDefault="005A1871" w:rsidP="00196ED0">
      <w:pPr>
        <w:spacing w:beforeLines="40" w:before="96" w:afterLines="40" w:after="96" w:line="276" w:lineRule="auto"/>
        <w:rPr>
          <w:szCs w:val="28"/>
        </w:rPr>
      </w:pPr>
      <w:r w:rsidRPr="00294FB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865BC7" wp14:editId="0A1F1A97">
                <wp:simplePos x="0" y="0"/>
                <wp:positionH relativeFrom="column">
                  <wp:posOffset>3539490</wp:posOffset>
                </wp:positionH>
                <wp:positionV relativeFrom="paragraph">
                  <wp:posOffset>203200</wp:posOffset>
                </wp:positionV>
                <wp:extent cx="1570869" cy="4000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869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0E5AD" w14:textId="77777777" w:rsidR="00136C97" w:rsidRDefault="00136C97" w:rsidP="005A1871">
                            <w:pPr>
                              <w:ind w:firstLine="0"/>
                            </w:pPr>
                            <w:r>
                              <w:rPr>
                                <w:i/>
                                <w:szCs w:val="28"/>
                              </w:rPr>
                              <w:t>Рисунок 7 «Шаг 2</w:t>
                            </w:r>
                            <w:r w:rsidRPr="0022125F">
                              <w:rPr>
                                <w:i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5BC7" id="Надпись 14" o:spid="_x0000_s1031" type="#_x0000_t202" style="position:absolute;left:0;text-align:left;margin-left:278.7pt;margin-top:16pt;width:123.7pt;height:3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" filled="f" stroked="f" strokeweight=".5pt">
                <v:textbox>
                  <w:txbxContent>
                    <w:p w14:paraId="6610E5AD" w14:textId="77777777" w:rsidR="00136C97" w:rsidRDefault="00136C97" w:rsidP="005A1871">
                      <w:pPr>
                        <w:ind w:firstLine="0"/>
                      </w:pPr>
                      <w:r>
                        <w:rPr>
                          <w:i/>
                          <w:szCs w:val="28"/>
                        </w:rPr>
                        <w:t>Рисунок 7 «Шаг 2</w:t>
                      </w:r>
                      <w:r w:rsidRPr="0022125F">
                        <w:rPr>
                          <w:i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96ED0" w:rsidRPr="00294FB6">
        <w:rPr>
          <w:szCs w:val="28"/>
        </w:rPr>
        <w:t xml:space="preserve">операции (только для элемента </w:t>
      </w:r>
    </w:p>
    <w:p w14:paraId="2F47E3E0" w14:textId="77777777" w:rsidR="00196ED0" w:rsidRPr="00294FB6" w:rsidRDefault="00196ED0" w:rsidP="00196ED0">
      <w:pPr>
        <w:spacing w:beforeLines="40" w:before="96" w:afterLines="40" w:after="96" w:line="276" w:lineRule="auto"/>
        <w:rPr>
          <w:szCs w:val="28"/>
        </w:rPr>
      </w:pPr>
      <w:r w:rsidRPr="00294FB6">
        <w:rPr>
          <w:szCs w:val="28"/>
        </w:rPr>
        <w:t>«Операция в системе»);</w:t>
      </w:r>
    </w:p>
    <w:p w14:paraId="73FDCA16" w14:textId="77777777" w:rsidR="00196ED0" w:rsidRDefault="00196ED0" w:rsidP="00196ED0">
      <w:pPr>
        <w:spacing w:beforeLines="40" w:before="96" w:afterLines="40" w:after="96" w:line="276" w:lineRule="auto"/>
        <w:ind w:right="4961" w:firstLine="567"/>
        <w:rPr>
          <w:szCs w:val="28"/>
        </w:rPr>
      </w:pPr>
      <w:r w:rsidRPr="00294FB6">
        <w:rPr>
          <w:szCs w:val="28"/>
        </w:rPr>
        <w:t>После заполнения атрибутов данными, указанная информация автоматически отобразится на элементе нотации.</w:t>
      </w:r>
    </w:p>
    <w:p w14:paraId="6A3E934B" w14:textId="77777777" w:rsidR="00A13F51" w:rsidRDefault="00A13F51" w:rsidP="00196ED0">
      <w:pPr>
        <w:spacing w:beforeLines="40" w:before="96" w:afterLines="40" w:after="96" w:line="276" w:lineRule="auto"/>
        <w:ind w:right="4961" w:firstLine="567"/>
        <w:rPr>
          <w:szCs w:val="28"/>
        </w:rPr>
      </w:pPr>
    </w:p>
    <w:p w14:paraId="7DA59443" w14:textId="77777777" w:rsidR="00A13F51" w:rsidRDefault="00A13F51" w:rsidP="00196ED0">
      <w:pPr>
        <w:spacing w:beforeLines="40" w:before="96" w:afterLines="40" w:after="96" w:line="276" w:lineRule="auto"/>
        <w:ind w:right="4961" w:firstLine="567"/>
        <w:rPr>
          <w:szCs w:val="28"/>
        </w:rPr>
      </w:pPr>
    </w:p>
    <w:p w14:paraId="5435BD62" w14:textId="77777777" w:rsidR="00A13F51" w:rsidRPr="00294FB6" w:rsidRDefault="00A13F51" w:rsidP="00196ED0">
      <w:pPr>
        <w:spacing w:beforeLines="40" w:before="96" w:afterLines="40" w:after="96" w:line="276" w:lineRule="auto"/>
        <w:ind w:right="4961" w:firstLine="567"/>
        <w:rPr>
          <w:szCs w:val="28"/>
        </w:rPr>
      </w:pPr>
    </w:p>
    <w:p w14:paraId="0CCF8A75" w14:textId="77777777" w:rsidR="00C9074A" w:rsidRDefault="00C9074A">
      <w:pPr>
        <w:spacing w:before="0" w:after="0"/>
        <w:ind w:firstLine="0"/>
        <w:jc w:val="left"/>
        <w:rPr>
          <w:rFonts w:eastAsiaTheme="minorHAnsi"/>
          <w:b/>
          <w:szCs w:val="28"/>
          <w:lang w:eastAsia="en-US"/>
        </w:rPr>
      </w:pPr>
      <w:bookmarkStart w:id="26" w:name="_Toc60070195"/>
      <w:r>
        <w:rPr>
          <w:b/>
          <w:szCs w:val="28"/>
        </w:rPr>
        <w:br w:type="page"/>
      </w:r>
    </w:p>
    <w:p w14:paraId="3DF3D416" w14:textId="1BAC86FE" w:rsidR="00196ED0" w:rsidRPr="00C9074A" w:rsidRDefault="00196ED0" w:rsidP="00C9074A">
      <w:pPr>
        <w:pStyle w:val="a3"/>
        <w:spacing w:before="0"/>
        <w:ind w:left="357" w:firstLine="0"/>
        <w:contextualSpacing w:val="0"/>
        <w:jc w:val="right"/>
        <w:outlineLvl w:val="0"/>
        <w:rPr>
          <w:rFonts w:ascii="Times New Roman" w:hAnsi="Times New Roman" w:cs="Times New Roman"/>
          <w:b/>
          <w:szCs w:val="28"/>
        </w:rPr>
      </w:pPr>
      <w:bookmarkStart w:id="27" w:name="_Toc179991534"/>
      <w:r w:rsidRPr="00C9074A">
        <w:rPr>
          <w:rFonts w:ascii="Times New Roman" w:hAnsi="Times New Roman" w:cs="Times New Roman"/>
          <w:b/>
          <w:szCs w:val="28"/>
        </w:rPr>
        <w:lastRenderedPageBreak/>
        <w:t xml:space="preserve">Приложение № </w:t>
      </w:r>
      <w:r w:rsidR="00136C97">
        <w:rPr>
          <w:rFonts w:ascii="Times New Roman" w:hAnsi="Times New Roman" w:cs="Times New Roman"/>
          <w:b/>
          <w:szCs w:val="28"/>
        </w:rPr>
        <w:t>1.</w:t>
      </w:r>
      <w:r w:rsidRPr="00C9074A">
        <w:rPr>
          <w:rFonts w:ascii="Times New Roman" w:hAnsi="Times New Roman" w:cs="Times New Roman"/>
          <w:b/>
          <w:szCs w:val="28"/>
        </w:rPr>
        <w:t>4</w:t>
      </w:r>
      <w:bookmarkEnd w:id="26"/>
      <w:r w:rsidR="00C9074A">
        <w:rPr>
          <w:rFonts w:ascii="Times New Roman" w:hAnsi="Times New Roman" w:cs="Times New Roman"/>
          <w:b/>
          <w:szCs w:val="28"/>
        </w:rPr>
        <w:t xml:space="preserve">. </w:t>
      </w:r>
      <w:r w:rsidRPr="00C9074A">
        <w:rPr>
          <w:rFonts w:ascii="Times New Roman" w:hAnsi="Times New Roman" w:cs="Times New Roman"/>
          <w:b/>
          <w:szCs w:val="28"/>
        </w:rPr>
        <w:t>Инструкция по описанию подпроцесса</w:t>
      </w:r>
      <w:bookmarkEnd w:id="27"/>
    </w:p>
    <w:p w14:paraId="4E1C14DA" w14:textId="77777777" w:rsidR="00196ED0" w:rsidRPr="00294FB6" w:rsidRDefault="00196ED0" w:rsidP="00196ED0">
      <w:pPr>
        <w:spacing w:beforeLines="40" w:before="96" w:afterLines="40" w:after="96"/>
        <w:contextualSpacing/>
        <w:jc w:val="center"/>
        <w:rPr>
          <w:sz w:val="28"/>
          <w:szCs w:val="28"/>
        </w:rPr>
      </w:pPr>
    </w:p>
    <w:p w14:paraId="2658C644" w14:textId="77777777" w:rsidR="00196ED0" w:rsidRPr="00294FB6" w:rsidRDefault="00196ED0" w:rsidP="00196ED0">
      <w:pPr>
        <w:spacing w:beforeLines="40" w:before="96" w:afterLines="40" w:after="96"/>
        <w:contextualSpacing/>
        <w:jc w:val="center"/>
        <w:rPr>
          <w:b/>
          <w:szCs w:val="28"/>
        </w:rPr>
      </w:pPr>
      <w:r w:rsidRPr="00294FB6">
        <w:rPr>
          <w:b/>
          <w:szCs w:val="28"/>
          <w:lang w:val="en-US"/>
        </w:rPr>
        <w:t>I</w:t>
      </w:r>
      <w:r w:rsidRPr="00294FB6">
        <w:rPr>
          <w:b/>
          <w:szCs w:val="28"/>
        </w:rPr>
        <w:t>. Определение границ подпроцесса и его названия</w:t>
      </w:r>
    </w:p>
    <w:p w14:paraId="36BAD4BA" w14:textId="77777777" w:rsidR="00196ED0" w:rsidRPr="00294FB6" w:rsidRDefault="00196ED0" w:rsidP="009D439C">
      <w:pPr>
        <w:pStyle w:val="a3"/>
        <w:numPr>
          <w:ilvl w:val="1"/>
          <w:numId w:val="54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 xml:space="preserve">Границы подпроцесса определяются с помощью обозначения его стартового события, являющегося началом описываемого подпроцесса, и конечного события, характеризующего результат подпроцесса. Описание элементов «Стартовое событие» и «Конечное событие» подробнее указано в п. 12-13 Таблица 1. </w:t>
      </w:r>
    </w:p>
    <w:p w14:paraId="387FBBFD" w14:textId="77777777" w:rsidR="00196ED0" w:rsidRPr="00294FB6" w:rsidRDefault="00196ED0" w:rsidP="009D439C">
      <w:pPr>
        <w:pStyle w:val="a3"/>
        <w:numPr>
          <w:ilvl w:val="1"/>
          <w:numId w:val="54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Название подпроцесса формируется из трех последовательных частей:</w:t>
      </w:r>
    </w:p>
    <w:p w14:paraId="175B9947" w14:textId="77777777" w:rsidR="00196ED0" w:rsidRPr="00294FB6" w:rsidRDefault="00196ED0" w:rsidP="009D439C">
      <w:pPr>
        <w:pStyle w:val="a3"/>
        <w:numPr>
          <w:ilvl w:val="0"/>
          <w:numId w:val="58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b/>
          <w:szCs w:val="28"/>
        </w:rPr>
        <w:t>действия</w:t>
      </w:r>
      <w:r w:rsidRPr="00294FB6">
        <w:rPr>
          <w:rFonts w:ascii="Times New Roman" w:hAnsi="Times New Roman" w:cs="Times New Roman"/>
          <w:szCs w:val="28"/>
        </w:rPr>
        <w:t>, приводящего к результату подпроцесса;</w:t>
      </w:r>
    </w:p>
    <w:p w14:paraId="3013ED65" w14:textId="77777777" w:rsidR="00196ED0" w:rsidRPr="00294FB6" w:rsidRDefault="00196ED0" w:rsidP="009D439C">
      <w:pPr>
        <w:pStyle w:val="a3"/>
        <w:numPr>
          <w:ilvl w:val="0"/>
          <w:numId w:val="58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b/>
          <w:szCs w:val="28"/>
        </w:rPr>
        <w:t>объекта</w:t>
      </w:r>
      <w:r w:rsidRPr="00294FB6">
        <w:rPr>
          <w:rFonts w:ascii="Times New Roman" w:hAnsi="Times New Roman" w:cs="Times New Roman"/>
          <w:szCs w:val="28"/>
        </w:rPr>
        <w:t>, над которым совершают данное действие;</w:t>
      </w:r>
    </w:p>
    <w:p w14:paraId="078702CD" w14:textId="77777777" w:rsidR="00196ED0" w:rsidRPr="00294FB6" w:rsidRDefault="00196ED0" w:rsidP="009D439C">
      <w:pPr>
        <w:pStyle w:val="a3"/>
        <w:numPr>
          <w:ilvl w:val="0"/>
          <w:numId w:val="58"/>
        </w:numPr>
        <w:spacing w:beforeLines="40" w:before="96" w:afterLines="40" w:after="96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b/>
          <w:szCs w:val="28"/>
        </w:rPr>
        <w:t>условия</w:t>
      </w:r>
      <w:r w:rsidRPr="00294FB6">
        <w:rPr>
          <w:rFonts w:ascii="Times New Roman" w:hAnsi="Times New Roman" w:cs="Times New Roman"/>
          <w:szCs w:val="28"/>
        </w:rPr>
        <w:t>, определяющего описываемый подпроцесс (при необходимости);</w:t>
      </w:r>
    </w:p>
    <w:p w14:paraId="61833468" w14:textId="77777777" w:rsidR="00196ED0" w:rsidRPr="00294FB6" w:rsidRDefault="00196ED0" w:rsidP="00196ED0">
      <w:pPr>
        <w:spacing w:beforeLines="40" w:before="96" w:afterLines="40" w:after="96"/>
        <w:contextualSpacing/>
        <w:rPr>
          <w:szCs w:val="28"/>
        </w:rPr>
      </w:pPr>
      <w:r w:rsidRPr="00294FB6">
        <w:rPr>
          <w:szCs w:val="28"/>
        </w:rPr>
        <w:t>Например:</w:t>
      </w:r>
    </w:p>
    <w:p w14:paraId="017E73FE" w14:textId="77777777" w:rsidR="00196ED0" w:rsidRPr="00294FB6" w:rsidRDefault="00BF4E27" w:rsidP="00196ED0">
      <w:pPr>
        <w:spacing w:beforeLines="40" w:before="96" w:afterLines="40" w:after="96" w:line="276" w:lineRule="auto"/>
        <w:ind w:left="-709" w:right="-142" w:firstLine="567"/>
        <w:rPr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«</m:t>
            </m:r>
            <m:r>
              <m:rPr>
                <m:nor/>
              </m:rPr>
              <w:rPr>
                <w:sz w:val="28"/>
                <w:szCs w:val="28"/>
              </w:rPr>
              <m:t>Подготовка к проведению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 xml:space="preserve"> действие</m:t>
            </m:r>
          </m:den>
        </m:f>
        <m:r>
          <m:rPr>
            <m:nor/>
          </m:rPr>
          <w:rPr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конкурентных закупок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объект</m:t>
            </m:r>
          </m:den>
        </m:f>
        <m:r>
          <m:rPr>
            <m:nor/>
          </m:rPr>
          <w:rPr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для нужд МР с НМЦ свыше 5 млн.  руб.»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условие</m:t>
            </m:r>
          </m:den>
        </m:f>
      </m:oMath>
      <w:r w:rsidR="00196ED0" w:rsidRPr="00294FB6">
        <w:rPr>
          <w:szCs w:val="28"/>
        </w:rPr>
        <w:t xml:space="preserve"> </w:t>
      </w:r>
    </w:p>
    <w:p w14:paraId="6B349490" w14:textId="77777777" w:rsidR="00196ED0" w:rsidRPr="00294FB6" w:rsidRDefault="00196ED0" w:rsidP="00196ED0">
      <w:pPr>
        <w:pStyle w:val="a3"/>
        <w:spacing w:beforeLines="40" w:before="96" w:afterLines="40" w:after="96"/>
        <w:ind w:left="0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 xml:space="preserve">Информация о названии подпроцесса вносится на карту подпроцесса в соответствующий блок «Заголовок подпроцесса» (пп. 3.1 разд. </w:t>
      </w:r>
      <w:r w:rsidRPr="00294FB6">
        <w:rPr>
          <w:rFonts w:ascii="Times New Roman" w:hAnsi="Times New Roman" w:cs="Times New Roman"/>
          <w:szCs w:val="28"/>
          <w:lang w:val="en-US"/>
        </w:rPr>
        <w:t>III</w:t>
      </w:r>
      <w:r w:rsidRPr="00294FB6">
        <w:rPr>
          <w:rFonts w:ascii="Times New Roman" w:hAnsi="Times New Roman" w:cs="Times New Roman"/>
          <w:szCs w:val="28"/>
        </w:rPr>
        <w:t>).</w:t>
      </w:r>
    </w:p>
    <w:p w14:paraId="5B34487B" w14:textId="77777777" w:rsidR="00196ED0" w:rsidRPr="00294FB6" w:rsidRDefault="00196ED0" w:rsidP="00196ED0">
      <w:pPr>
        <w:pStyle w:val="a3"/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Cs w:val="28"/>
        </w:rPr>
      </w:pPr>
      <w:r w:rsidRPr="00294FB6">
        <w:rPr>
          <w:rFonts w:ascii="Times New Roman" w:hAnsi="Times New Roman" w:cs="Times New Roman"/>
          <w:b/>
          <w:szCs w:val="28"/>
          <w:lang w:val="en-US"/>
        </w:rPr>
        <w:t>II</w:t>
      </w:r>
      <w:r w:rsidRPr="00294FB6">
        <w:rPr>
          <w:rFonts w:ascii="Times New Roman" w:hAnsi="Times New Roman" w:cs="Times New Roman"/>
          <w:b/>
          <w:szCs w:val="28"/>
        </w:rPr>
        <w:t xml:space="preserve">. Определение владельца подпроцесса, ролей, схемы подпроцесса и его этапов </w:t>
      </w:r>
    </w:p>
    <w:p w14:paraId="7FCD78E9" w14:textId="77777777" w:rsidR="00196ED0" w:rsidRPr="00294FB6" w:rsidRDefault="00196ED0" w:rsidP="00196ED0">
      <w:pPr>
        <w:rPr>
          <w:szCs w:val="28"/>
        </w:rPr>
      </w:pPr>
      <w:r w:rsidRPr="00294FB6">
        <w:rPr>
          <w:szCs w:val="28"/>
        </w:rPr>
        <w:t>2.1.</w:t>
      </w:r>
      <w:r w:rsidRPr="00294FB6">
        <w:rPr>
          <w:szCs w:val="28"/>
        </w:rPr>
        <w:tab/>
        <w:t>Владелец подпроцесса определяется из числа должностных лиц, не ниже уровня руководителя отдела. На роль владельца подпроцесса рекомендуется руководитель подразделения, подходящий хотя бы под один из следующих критериев:</w:t>
      </w:r>
    </w:p>
    <w:p w14:paraId="08A487DF" w14:textId="77777777" w:rsidR="00196ED0" w:rsidRPr="00294FB6" w:rsidRDefault="00196ED0" w:rsidP="009D439C">
      <w:pPr>
        <w:pStyle w:val="a3"/>
        <w:numPr>
          <w:ilvl w:val="1"/>
          <w:numId w:val="60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отвечает за результат подпроцесса;</w:t>
      </w:r>
    </w:p>
    <w:p w14:paraId="2AFD27FE" w14:textId="77777777" w:rsidR="00196ED0" w:rsidRPr="00294FB6" w:rsidRDefault="00196ED0" w:rsidP="009D439C">
      <w:pPr>
        <w:pStyle w:val="a3"/>
        <w:numPr>
          <w:ilvl w:val="1"/>
          <w:numId w:val="60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отвечает за регламентацию подпроцесса;</w:t>
      </w:r>
    </w:p>
    <w:p w14:paraId="4CF3F4AB" w14:textId="77777777" w:rsidR="00196ED0" w:rsidRPr="00294FB6" w:rsidRDefault="00196ED0" w:rsidP="009D439C">
      <w:pPr>
        <w:pStyle w:val="a3"/>
        <w:numPr>
          <w:ilvl w:val="1"/>
          <w:numId w:val="60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выполняет большинство операций в подпроцессе.</w:t>
      </w:r>
    </w:p>
    <w:p w14:paraId="45FE2334" w14:textId="77777777" w:rsidR="00196ED0" w:rsidRPr="00294FB6" w:rsidRDefault="00196ED0" w:rsidP="009D439C">
      <w:pPr>
        <w:pStyle w:val="a3"/>
        <w:numPr>
          <w:ilvl w:val="1"/>
          <w:numId w:val="61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Роль в подпроцессе определяется нормативным и/или экспертным способом сбора информации:</w:t>
      </w:r>
    </w:p>
    <w:p w14:paraId="41996EFD" w14:textId="77777777" w:rsidR="00196ED0" w:rsidRPr="00294FB6" w:rsidRDefault="00196ED0" w:rsidP="009D439C">
      <w:pPr>
        <w:pStyle w:val="a3"/>
        <w:numPr>
          <w:ilvl w:val="0"/>
          <w:numId w:val="55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Нормативный способ – это метод сбора информации посредством изучения внутренних документов Общества, регламентирующих описываемый подпроцесс.</w:t>
      </w:r>
    </w:p>
    <w:p w14:paraId="3643A55F" w14:textId="77777777" w:rsidR="00196ED0" w:rsidRPr="00294FB6" w:rsidRDefault="00196ED0" w:rsidP="009D439C">
      <w:pPr>
        <w:pStyle w:val="a3"/>
        <w:numPr>
          <w:ilvl w:val="0"/>
          <w:numId w:val="55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Экспертный способ – это метод сбора информации о подпроцессе посредством интервьюирования участников подпроцесса.</w:t>
      </w:r>
    </w:p>
    <w:p w14:paraId="5C2BEF99" w14:textId="77777777" w:rsidR="00196ED0" w:rsidRPr="00294FB6" w:rsidRDefault="00196ED0" w:rsidP="00196ED0">
      <w:pPr>
        <w:pStyle w:val="a3"/>
        <w:ind w:left="0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Название роли формируется из двух частей:</w:t>
      </w:r>
    </w:p>
    <w:p w14:paraId="1C93A25E" w14:textId="77777777" w:rsidR="00196ED0" w:rsidRPr="00294FB6" w:rsidRDefault="00196ED0" w:rsidP="009D439C">
      <w:pPr>
        <w:pStyle w:val="a3"/>
        <w:numPr>
          <w:ilvl w:val="0"/>
          <w:numId w:val="59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b/>
          <w:szCs w:val="28"/>
        </w:rPr>
        <w:t>роли</w:t>
      </w:r>
      <w:r w:rsidRPr="00294FB6">
        <w:rPr>
          <w:rFonts w:ascii="Times New Roman" w:hAnsi="Times New Roman" w:cs="Times New Roman"/>
          <w:szCs w:val="28"/>
        </w:rPr>
        <w:t>, исполняемой работником для выполнения операций в подпроцессе;</w:t>
      </w:r>
    </w:p>
    <w:p w14:paraId="66C8A532" w14:textId="77777777" w:rsidR="00196ED0" w:rsidRPr="00294FB6" w:rsidRDefault="00196ED0" w:rsidP="009D439C">
      <w:pPr>
        <w:pStyle w:val="a3"/>
        <w:numPr>
          <w:ilvl w:val="0"/>
          <w:numId w:val="59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b/>
          <w:szCs w:val="28"/>
        </w:rPr>
        <w:t xml:space="preserve">структурного подразделения </w:t>
      </w:r>
      <w:r w:rsidRPr="00294FB6">
        <w:rPr>
          <w:rFonts w:ascii="Times New Roman" w:hAnsi="Times New Roman" w:cs="Times New Roman"/>
          <w:szCs w:val="28"/>
        </w:rPr>
        <w:t>данного</w:t>
      </w:r>
      <w:r w:rsidRPr="00294FB6">
        <w:rPr>
          <w:rFonts w:ascii="Times New Roman" w:hAnsi="Times New Roman" w:cs="Times New Roman"/>
          <w:b/>
          <w:szCs w:val="28"/>
        </w:rPr>
        <w:t xml:space="preserve"> </w:t>
      </w:r>
      <w:r w:rsidRPr="00294FB6">
        <w:rPr>
          <w:rFonts w:ascii="Times New Roman" w:hAnsi="Times New Roman" w:cs="Times New Roman"/>
          <w:szCs w:val="28"/>
        </w:rPr>
        <w:t>работника;</w:t>
      </w:r>
    </w:p>
    <w:p w14:paraId="3A766015" w14:textId="77777777" w:rsidR="00196ED0" w:rsidRPr="00294FB6" w:rsidRDefault="00196ED0" w:rsidP="00196ED0">
      <w:pPr>
        <w:rPr>
          <w:szCs w:val="28"/>
        </w:rPr>
      </w:pPr>
      <w:r w:rsidRPr="00294FB6">
        <w:rPr>
          <w:szCs w:val="28"/>
        </w:rPr>
        <w:t>Например:</w:t>
      </w:r>
    </w:p>
    <w:p w14:paraId="6A50D533" w14:textId="77777777" w:rsidR="00196ED0" w:rsidRPr="00294FB6" w:rsidRDefault="00BF4E27" w:rsidP="00196ED0">
      <w:pPr>
        <w:rPr>
          <w:b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sz w:val="22"/>
                  <w:szCs w:val="28"/>
                </w:rPr>
              </m:ctrlPr>
            </m:fPr>
            <m:num>
              <m:r>
                <m:rPr>
                  <m:nor/>
                </m:rPr>
                <w:rPr>
                  <w:sz w:val="22"/>
                  <w:szCs w:val="28"/>
                </w:rPr>
                <m:t>Инициатор</m:t>
              </m:r>
            </m:num>
            <m:den>
              <m:r>
                <m:rPr>
                  <m:nor/>
                </m:rPr>
                <w:rPr>
                  <w:b/>
                  <w:sz w:val="22"/>
                  <w:szCs w:val="28"/>
                </w:rPr>
                <m:t xml:space="preserve"> </m:t>
              </m:r>
              <m:r>
                <m:rPr>
                  <m:nor/>
                </m:rPr>
                <w:rPr>
                  <w:i/>
                  <w:sz w:val="22"/>
                  <w:szCs w:val="28"/>
                </w:rPr>
                <m:t>роль</m:t>
              </m:r>
            </m:den>
          </m:f>
          <m:r>
            <m:rPr>
              <m:nor/>
            </m:rPr>
            <w:rPr>
              <w:sz w:val="22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8"/>
                </w:rPr>
              </m:ctrlPr>
            </m:fPr>
            <m:num>
              <m:r>
                <m:rPr>
                  <m:nor/>
                </m:rPr>
                <w:rPr>
                  <w:sz w:val="22"/>
                  <w:szCs w:val="28"/>
                </w:rPr>
                <m:t xml:space="preserve"> (Департамент по оптимизации бизнес-процессов)</m:t>
              </m:r>
            </m:num>
            <m:den>
              <m:r>
                <m:rPr>
                  <m:nor/>
                </m:rPr>
                <w:rPr>
                  <w:i/>
                  <w:sz w:val="22"/>
                  <w:szCs w:val="28"/>
                </w:rPr>
                <m:t>структурное подразделение работника</m:t>
              </m:r>
            </m:den>
          </m:f>
        </m:oMath>
      </m:oMathPara>
    </w:p>
    <w:p w14:paraId="3A1001FC" w14:textId="77777777" w:rsidR="00196ED0" w:rsidRPr="00294FB6" w:rsidRDefault="00196ED0" w:rsidP="00196ED0">
      <w:pPr>
        <w:pStyle w:val="a3"/>
        <w:ind w:left="0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 xml:space="preserve">Собранная информация вносится на карту подпроцесса в соответствующие блоки «Дорожка» (пп. 3.1 разд. </w:t>
      </w:r>
      <w:r w:rsidRPr="00294FB6">
        <w:rPr>
          <w:rFonts w:ascii="Times New Roman" w:hAnsi="Times New Roman" w:cs="Times New Roman"/>
          <w:szCs w:val="28"/>
          <w:lang w:val="en-US"/>
        </w:rPr>
        <w:t>III</w:t>
      </w:r>
      <w:r w:rsidRPr="00294FB6">
        <w:rPr>
          <w:rFonts w:ascii="Times New Roman" w:hAnsi="Times New Roman" w:cs="Times New Roman"/>
          <w:szCs w:val="28"/>
        </w:rPr>
        <w:t>).</w:t>
      </w:r>
    </w:p>
    <w:p w14:paraId="1328EF13" w14:textId="77777777" w:rsidR="00196ED0" w:rsidRPr="00294FB6" w:rsidRDefault="00196ED0" w:rsidP="00196ED0">
      <w:pPr>
        <w:rPr>
          <w:b/>
          <w:szCs w:val="28"/>
        </w:rPr>
      </w:pPr>
      <w:r w:rsidRPr="00294FB6">
        <w:rPr>
          <w:szCs w:val="28"/>
        </w:rPr>
        <w:t>2.3.</w:t>
      </w:r>
      <w:r w:rsidRPr="00294FB6">
        <w:rPr>
          <w:szCs w:val="28"/>
        </w:rPr>
        <w:tab/>
        <w:t xml:space="preserve">Схема подпроцесса состоит из операций и других элементов нотации, которые определяются посредством экспертного и/или нормативного способа сбора информации. Этапы подпроцесса отражаются на карте подпроцесса путем логического разделения схемы на основные шаги (пп. 3.1 разд. </w:t>
      </w:r>
      <w:r w:rsidRPr="00294FB6">
        <w:rPr>
          <w:szCs w:val="28"/>
          <w:lang w:val="en-US"/>
        </w:rPr>
        <w:t>III</w:t>
      </w:r>
      <w:r w:rsidRPr="00294FB6">
        <w:rPr>
          <w:szCs w:val="28"/>
        </w:rPr>
        <w:t>)</w:t>
      </w:r>
    </w:p>
    <w:p w14:paraId="24686D2B" w14:textId="7E41881B" w:rsidR="00196ED0" w:rsidRDefault="00196ED0" w:rsidP="00196ED0">
      <w:pPr>
        <w:pStyle w:val="a3"/>
        <w:ind w:left="0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2.4.</w:t>
      </w:r>
      <w:r w:rsidRPr="00294FB6">
        <w:rPr>
          <w:rFonts w:ascii="Times New Roman" w:hAnsi="Times New Roman" w:cs="Times New Roman"/>
          <w:szCs w:val="28"/>
        </w:rPr>
        <w:tab/>
        <w:t>ИС, используемые в подпроцессе, определяются во время проведения экспертного способа сбора информации. Название ИС указывается на элементе «Операция в системе» – п. 2 Таблица 1.</w:t>
      </w:r>
    </w:p>
    <w:p w14:paraId="330F6EEB" w14:textId="510A4E8B" w:rsidR="005A1871" w:rsidRDefault="005A1871" w:rsidP="00196ED0">
      <w:pPr>
        <w:pStyle w:val="a3"/>
        <w:ind w:left="0"/>
        <w:rPr>
          <w:rFonts w:ascii="Times New Roman" w:hAnsi="Times New Roman" w:cs="Times New Roman"/>
          <w:szCs w:val="28"/>
        </w:rPr>
      </w:pPr>
    </w:p>
    <w:p w14:paraId="13740457" w14:textId="77777777" w:rsidR="005A1871" w:rsidRPr="00294FB6" w:rsidRDefault="005A1871" w:rsidP="00196ED0">
      <w:pPr>
        <w:pStyle w:val="a3"/>
        <w:ind w:left="0"/>
        <w:rPr>
          <w:rFonts w:ascii="Times New Roman" w:hAnsi="Times New Roman" w:cs="Times New Roman"/>
          <w:szCs w:val="28"/>
        </w:rPr>
      </w:pPr>
    </w:p>
    <w:p w14:paraId="5530C61D" w14:textId="77777777" w:rsidR="00196ED0" w:rsidRPr="00294FB6" w:rsidRDefault="00196ED0" w:rsidP="00196ED0">
      <w:pPr>
        <w:spacing w:before="240"/>
        <w:ind w:left="357" w:hanging="357"/>
        <w:jc w:val="center"/>
        <w:rPr>
          <w:b/>
          <w:szCs w:val="28"/>
        </w:rPr>
      </w:pPr>
      <w:r w:rsidRPr="00294FB6">
        <w:rPr>
          <w:b/>
          <w:szCs w:val="28"/>
          <w:lang w:val="en-US"/>
        </w:rPr>
        <w:lastRenderedPageBreak/>
        <w:t>III</w:t>
      </w:r>
      <w:r w:rsidRPr="00294FB6">
        <w:rPr>
          <w:b/>
          <w:szCs w:val="28"/>
        </w:rPr>
        <w:t>. Указание регламентных сроков для операций</w:t>
      </w:r>
    </w:p>
    <w:p w14:paraId="4B2D28EA" w14:textId="77777777" w:rsidR="00196ED0" w:rsidRPr="00294FB6" w:rsidRDefault="00196ED0" w:rsidP="00196ED0">
      <w:pPr>
        <w:pStyle w:val="a3"/>
        <w:ind w:left="0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 xml:space="preserve">3.1. Регламентный срок выполнения операции или группы операций определяется при сборе информации нормативным способом. Регламентный срок указывается при помощи элемента «Маркер регламентного времени» п. 6 Таблица 1. Указание регламентного срока проводится опционально и по возможности. </w:t>
      </w:r>
    </w:p>
    <w:p w14:paraId="1E8785CE" w14:textId="77777777" w:rsidR="00196ED0" w:rsidRPr="00294FB6" w:rsidRDefault="00196ED0" w:rsidP="00196ED0">
      <w:pPr>
        <w:pStyle w:val="a3"/>
        <w:spacing w:before="240"/>
        <w:ind w:left="357" w:hanging="357"/>
        <w:contextualSpacing w:val="0"/>
        <w:jc w:val="center"/>
        <w:rPr>
          <w:rFonts w:ascii="Times New Roman" w:hAnsi="Times New Roman" w:cs="Times New Roman"/>
          <w:b/>
          <w:szCs w:val="28"/>
        </w:rPr>
      </w:pPr>
      <w:r w:rsidRPr="00294FB6">
        <w:rPr>
          <w:rFonts w:ascii="Times New Roman" w:hAnsi="Times New Roman" w:cs="Times New Roman"/>
          <w:b/>
          <w:szCs w:val="28"/>
          <w:lang w:val="en-US"/>
        </w:rPr>
        <w:t>I</w:t>
      </w:r>
      <w:r w:rsidRPr="00294FB6">
        <w:rPr>
          <w:rFonts w:ascii="Times New Roman" w:hAnsi="Times New Roman" w:cs="Times New Roman"/>
          <w:b/>
          <w:szCs w:val="28"/>
        </w:rPr>
        <w:t>V. Указание чистого времени для операции</w:t>
      </w:r>
    </w:p>
    <w:p w14:paraId="5024FFC9" w14:textId="77777777" w:rsidR="00196ED0" w:rsidRPr="00294FB6" w:rsidRDefault="00196ED0" w:rsidP="00196ED0">
      <w:pPr>
        <w:rPr>
          <w:szCs w:val="28"/>
        </w:rPr>
      </w:pPr>
      <w:r w:rsidRPr="00294FB6">
        <w:rPr>
          <w:szCs w:val="28"/>
        </w:rPr>
        <w:t xml:space="preserve">4.1. Чистое время, затраченное на выполнение операции, определяется с применением одного или комбинации следующих методов: </w:t>
      </w:r>
    </w:p>
    <w:p w14:paraId="36759497" w14:textId="77777777" w:rsidR="00196ED0" w:rsidRPr="00294FB6" w:rsidRDefault="00196ED0" w:rsidP="009D439C">
      <w:pPr>
        <w:pStyle w:val="a3"/>
        <w:numPr>
          <w:ilvl w:val="0"/>
          <w:numId w:val="56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i/>
          <w:szCs w:val="28"/>
        </w:rPr>
        <w:t>Метод типовых норм</w:t>
      </w:r>
      <w:r w:rsidRPr="00294FB6">
        <w:rPr>
          <w:rFonts w:ascii="Times New Roman" w:hAnsi="Times New Roman" w:cs="Times New Roman"/>
          <w:szCs w:val="28"/>
        </w:rPr>
        <w:t xml:space="preserve"> – использование типового регламентного времени, сформированного и верифицированного по результатам проведения хронометража операций. Для расчета показателей по соответствующим подпроцессам применяются нормативы, установленные в Обществе в соответствии с требованиями трудового законодательства Российской Федерации. При этом применение таких нормативов для целей расчетов в соответствии с Методическими рекомендациями не возлагает на работника дополнительных трудовых обязанностей.</w:t>
      </w:r>
    </w:p>
    <w:p w14:paraId="57D24523" w14:textId="77777777" w:rsidR="00196ED0" w:rsidRPr="00294FB6" w:rsidRDefault="00196ED0" w:rsidP="009D439C">
      <w:pPr>
        <w:pStyle w:val="a3"/>
        <w:numPr>
          <w:ilvl w:val="0"/>
          <w:numId w:val="56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i/>
          <w:szCs w:val="28"/>
        </w:rPr>
        <w:t>Метод лучших практик</w:t>
      </w:r>
      <w:r w:rsidRPr="00294FB6">
        <w:rPr>
          <w:rFonts w:ascii="Times New Roman" w:hAnsi="Times New Roman" w:cs="Times New Roman"/>
          <w:szCs w:val="28"/>
        </w:rPr>
        <w:t xml:space="preserve"> – использование регламентного времени, затрачиваемого на выполнение идентичных или аналогичных операций на основании рыночных практик. </w:t>
      </w:r>
    </w:p>
    <w:p w14:paraId="38B33937" w14:textId="77777777" w:rsidR="00196ED0" w:rsidRPr="00294FB6" w:rsidRDefault="00196ED0" w:rsidP="009D439C">
      <w:pPr>
        <w:pStyle w:val="a3"/>
        <w:numPr>
          <w:ilvl w:val="0"/>
          <w:numId w:val="56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i/>
          <w:szCs w:val="28"/>
        </w:rPr>
        <w:t>Аналитический метод</w:t>
      </w:r>
      <w:r w:rsidRPr="00294FB6">
        <w:rPr>
          <w:rFonts w:ascii="Times New Roman" w:hAnsi="Times New Roman" w:cs="Times New Roman"/>
          <w:szCs w:val="28"/>
        </w:rPr>
        <w:t xml:space="preserve"> – формирование регламентного времени на основании фактического времени совершения операций в ИС. Чистое время определяется путём анализа репрезентативной выборки исторических данных по исследуемой операции. Данный метод применяется для определения чистого времени операций, полностью исполняемых в ИС.</w:t>
      </w:r>
    </w:p>
    <w:p w14:paraId="4EA6C33A" w14:textId="77777777" w:rsidR="00196ED0" w:rsidRPr="00294FB6" w:rsidRDefault="00196ED0" w:rsidP="009D439C">
      <w:pPr>
        <w:pStyle w:val="a3"/>
        <w:numPr>
          <w:ilvl w:val="0"/>
          <w:numId w:val="57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i/>
          <w:szCs w:val="28"/>
        </w:rPr>
        <w:t>Метод экспертных оценок</w:t>
      </w:r>
      <w:r w:rsidRPr="00294FB6">
        <w:rPr>
          <w:rFonts w:ascii="Times New Roman" w:hAnsi="Times New Roman" w:cs="Times New Roman"/>
          <w:szCs w:val="28"/>
        </w:rPr>
        <w:t xml:space="preserve"> – формирование регламентного времени исходя из экспертной оценки владельца подпроцесса. Данный метод применяется для определения чистого времени операций, носящих несистемный характер или операций, к которым применить другой метод не представляется возможным. </w:t>
      </w:r>
    </w:p>
    <w:p w14:paraId="6E9C7683" w14:textId="77777777" w:rsidR="00196ED0" w:rsidRPr="00294FB6" w:rsidRDefault="00196ED0" w:rsidP="009D439C">
      <w:pPr>
        <w:pStyle w:val="a3"/>
        <w:numPr>
          <w:ilvl w:val="0"/>
          <w:numId w:val="57"/>
        </w:numPr>
        <w:spacing w:before="0" w:after="0"/>
        <w:ind w:left="0" w:firstLine="709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i/>
          <w:szCs w:val="28"/>
        </w:rPr>
        <w:t>Метод обоснования по завершению</w:t>
      </w:r>
      <w:r w:rsidRPr="00294FB6">
        <w:rPr>
          <w:rFonts w:ascii="Times New Roman" w:hAnsi="Times New Roman" w:cs="Times New Roman"/>
          <w:szCs w:val="28"/>
        </w:rPr>
        <w:t xml:space="preserve"> – метод определения нагрузки исходя из отчета о проделанной работе, самостоятельно заполненного сотрудником. </w:t>
      </w:r>
    </w:p>
    <w:p w14:paraId="037B75C1" w14:textId="77777777" w:rsidR="00196ED0" w:rsidRPr="00294FB6" w:rsidRDefault="00196ED0" w:rsidP="00196ED0">
      <w:pPr>
        <w:pStyle w:val="a3"/>
        <w:ind w:left="0"/>
        <w:rPr>
          <w:rFonts w:ascii="Times New Roman" w:hAnsi="Times New Roman" w:cs="Times New Roman"/>
          <w:szCs w:val="28"/>
        </w:rPr>
      </w:pPr>
      <w:r w:rsidRPr="00294FB6">
        <w:rPr>
          <w:rFonts w:ascii="Times New Roman" w:hAnsi="Times New Roman" w:cs="Times New Roman"/>
          <w:szCs w:val="28"/>
        </w:rPr>
        <w:t>Чистое время указывается на элементах согласно принципам использования, в Таблице 1. Указание чистого времени операции проводится опционально и по возможности.</w:t>
      </w:r>
    </w:p>
    <w:p w14:paraId="326131D3" w14:textId="77777777" w:rsidR="00196ED0" w:rsidRPr="00294FB6" w:rsidRDefault="00196ED0" w:rsidP="00196ED0">
      <w:pPr>
        <w:spacing w:before="240"/>
        <w:ind w:left="357" w:hanging="357"/>
        <w:jc w:val="center"/>
        <w:rPr>
          <w:b/>
          <w:szCs w:val="28"/>
        </w:rPr>
      </w:pPr>
      <w:r w:rsidRPr="00294FB6">
        <w:rPr>
          <w:b/>
          <w:szCs w:val="28"/>
        </w:rPr>
        <w:t>V. Согласование карты подпроцесса с участниками подпроцесса</w:t>
      </w:r>
    </w:p>
    <w:p w14:paraId="55C134C8" w14:textId="77777777" w:rsidR="00196ED0" w:rsidRPr="00294FB6" w:rsidRDefault="00196ED0" w:rsidP="00196ED0">
      <w:pPr>
        <w:rPr>
          <w:szCs w:val="28"/>
        </w:rPr>
      </w:pPr>
      <w:r w:rsidRPr="00294FB6">
        <w:rPr>
          <w:szCs w:val="28"/>
        </w:rPr>
        <w:t>5.1. Карта подпроцесса согласовывается с участниками подпроцесса, которые привлекались во время сбора информации по подпроцессу, посредством направления Служебной записки через ЕСЭД</w:t>
      </w:r>
      <w:r w:rsidRPr="00294FB6">
        <w:rPr>
          <w:rStyle w:val="afd"/>
          <w:szCs w:val="28"/>
        </w:rPr>
        <w:footnoteReference w:id="4"/>
      </w:r>
      <w:r w:rsidRPr="00294FB6">
        <w:rPr>
          <w:szCs w:val="28"/>
        </w:rPr>
        <w:t>.</w:t>
      </w:r>
    </w:p>
    <w:p w14:paraId="7012C148" w14:textId="77777777" w:rsidR="00196ED0" w:rsidRPr="00294FB6" w:rsidRDefault="00196ED0" w:rsidP="00196ED0">
      <w:pPr>
        <w:spacing w:before="240"/>
        <w:ind w:left="357" w:hanging="357"/>
        <w:jc w:val="center"/>
        <w:rPr>
          <w:b/>
          <w:szCs w:val="28"/>
        </w:rPr>
      </w:pPr>
      <w:r w:rsidRPr="00294FB6">
        <w:rPr>
          <w:b/>
          <w:szCs w:val="28"/>
        </w:rPr>
        <w:t>VI. Согласование карты подпроцесса с владельцем подпроцесса</w:t>
      </w:r>
    </w:p>
    <w:p w14:paraId="509E29FE" w14:textId="0EFB5B27" w:rsidR="009336E3" w:rsidRDefault="00196ED0" w:rsidP="00294FB6">
      <w:pPr>
        <w:spacing w:before="0" w:after="0" w:line="276" w:lineRule="auto"/>
        <w:ind w:firstLine="0"/>
        <w:rPr>
          <w:szCs w:val="28"/>
        </w:rPr>
      </w:pPr>
      <w:r w:rsidRPr="00294FB6">
        <w:rPr>
          <w:szCs w:val="28"/>
        </w:rPr>
        <w:t>6.1. Карта подпроцесса согласовывается с владельцем подпроцесса посредством направления Служебной записки через ЕСЭД. В случае несогласования со стороны владельца подпроцесса, карта подпроцесса подлежит корректировке согласно полученным комментариям от владельца подпроцесса, далее карта направ</w:t>
      </w:r>
      <w:r w:rsidR="00A13F51" w:rsidRPr="00A13F51">
        <w:rPr>
          <w:szCs w:val="28"/>
        </w:rPr>
        <w:t>ляется на повторное согласовани</w:t>
      </w:r>
      <w:r w:rsidR="00294FB6">
        <w:rPr>
          <w:szCs w:val="28"/>
        </w:rPr>
        <w:t>е.</w:t>
      </w:r>
    </w:p>
    <w:p w14:paraId="76A6DF27" w14:textId="2249D8DB" w:rsidR="00136C97" w:rsidRPr="009060BB" w:rsidRDefault="00136C97" w:rsidP="009060BB">
      <w:pPr>
        <w:spacing w:before="0" w:after="0"/>
        <w:ind w:firstLine="0"/>
        <w:jc w:val="left"/>
        <w:rPr>
          <w:szCs w:val="28"/>
        </w:rPr>
      </w:pPr>
    </w:p>
    <w:sectPr w:rsidR="00136C97" w:rsidRPr="00906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C79AC" w14:textId="77777777" w:rsidR="00BF4E27" w:rsidRDefault="00BF4E27" w:rsidP="0056669B">
      <w:pPr>
        <w:spacing w:before="0" w:after="0"/>
      </w:pPr>
      <w:r>
        <w:separator/>
      </w:r>
    </w:p>
  </w:endnote>
  <w:endnote w:type="continuationSeparator" w:id="0">
    <w:p w14:paraId="03C949FF" w14:textId="77777777" w:rsidR="00BF4E27" w:rsidRDefault="00BF4E27" w:rsidP="0056669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4524214"/>
      <w:docPartObj>
        <w:docPartGallery w:val="Page Numbers (Bottom of Page)"/>
        <w:docPartUnique/>
      </w:docPartObj>
    </w:sdtPr>
    <w:sdtEndPr/>
    <w:sdtContent>
      <w:p w14:paraId="58B32FBF" w14:textId="6C1E11C9" w:rsidR="005A1871" w:rsidRDefault="005A1871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C16">
          <w:rPr>
            <w:noProof/>
          </w:rPr>
          <w:t>18</w:t>
        </w:r>
        <w:r>
          <w:fldChar w:fldCharType="end"/>
        </w:r>
      </w:p>
    </w:sdtContent>
  </w:sdt>
  <w:p w14:paraId="13F30EAB" w14:textId="77777777" w:rsidR="005A1871" w:rsidRDefault="005A1871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27248" w14:textId="77777777" w:rsidR="00BF4E27" w:rsidRDefault="00BF4E27" w:rsidP="0056669B">
      <w:pPr>
        <w:spacing w:before="0" w:after="0"/>
      </w:pPr>
      <w:r>
        <w:separator/>
      </w:r>
    </w:p>
  </w:footnote>
  <w:footnote w:type="continuationSeparator" w:id="0">
    <w:p w14:paraId="6FA02E39" w14:textId="77777777" w:rsidR="00BF4E27" w:rsidRDefault="00BF4E27" w:rsidP="0056669B">
      <w:pPr>
        <w:spacing w:before="0" w:after="0"/>
      </w:pPr>
      <w:r>
        <w:continuationSeparator/>
      </w:r>
    </w:p>
  </w:footnote>
  <w:footnote w:id="1">
    <w:p w14:paraId="1F1DD778" w14:textId="77777777" w:rsidR="00136C97" w:rsidRDefault="00136C97" w:rsidP="00196ED0">
      <w:pPr>
        <w:pStyle w:val="afb"/>
      </w:pPr>
      <w:r>
        <w:rPr>
          <w:rStyle w:val="afd"/>
        </w:rPr>
        <w:footnoteRef/>
      </w:r>
      <w:r>
        <w:t xml:space="preserve"> До перехода на автоматизированную информационную систему</w:t>
      </w:r>
    </w:p>
  </w:footnote>
  <w:footnote w:id="2">
    <w:p w14:paraId="56DFDC47" w14:textId="77777777" w:rsidR="00136C97" w:rsidRPr="00F56A93" w:rsidRDefault="00136C97" w:rsidP="00196ED0">
      <w:pPr>
        <w:pStyle w:val="afb"/>
      </w:pPr>
      <w:r>
        <w:rPr>
          <w:rStyle w:val="afd"/>
        </w:rPr>
        <w:footnoteRef/>
      </w:r>
      <w:r>
        <w:t xml:space="preserve"> Не указывается д</w:t>
      </w:r>
      <w:r w:rsidRPr="00F56A93">
        <w:t xml:space="preserve">о перехода </w:t>
      </w:r>
      <w:r w:rsidRPr="00F049E3">
        <w:t>на автоматизированную информационную систему</w:t>
      </w:r>
    </w:p>
  </w:footnote>
  <w:footnote w:id="3">
    <w:p w14:paraId="651266C8" w14:textId="77777777" w:rsidR="00136C97" w:rsidRDefault="00136C97" w:rsidP="00196ED0">
      <w:pPr>
        <w:pStyle w:val="afb"/>
      </w:pPr>
      <w:r>
        <w:rPr>
          <w:rStyle w:val="afd"/>
        </w:rPr>
        <w:footnoteRef/>
      </w:r>
      <w:r>
        <w:t xml:space="preserve"> Регламентное</w:t>
      </w:r>
      <w:r w:rsidRPr="00764A40">
        <w:t xml:space="preserve"> время </w:t>
      </w:r>
      <w:r>
        <w:t>устанавливается</w:t>
      </w:r>
      <w:r w:rsidRPr="00764A40">
        <w:t xml:space="preserve"> </w:t>
      </w:r>
      <w:r>
        <w:t>внутренними документами</w:t>
      </w:r>
      <w:r w:rsidRPr="00764A40">
        <w:t xml:space="preserve"> Общества</w:t>
      </w:r>
    </w:p>
  </w:footnote>
  <w:footnote w:id="4">
    <w:p w14:paraId="0DFE0271" w14:textId="77777777" w:rsidR="00136C97" w:rsidRPr="000B6F44" w:rsidRDefault="00136C97" w:rsidP="005A1871">
      <w:pPr>
        <w:pStyle w:val="afb"/>
        <w:ind w:firstLine="708"/>
      </w:pPr>
      <w:r w:rsidRPr="000B6F44">
        <w:rPr>
          <w:rStyle w:val="afd"/>
        </w:rPr>
        <w:footnoteRef/>
      </w:r>
      <w:r>
        <w:t xml:space="preserve"> Е</w:t>
      </w:r>
      <w:r w:rsidRPr="000B6F44">
        <w:t xml:space="preserve">СЭД </w:t>
      </w:r>
      <w:r w:rsidRPr="00F641CE">
        <w:t>–</w:t>
      </w:r>
      <w:r w:rsidRPr="000B6F44">
        <w:t xml:space="preserve"> </w:t>
      </w:r>
      <w:r>
        <w:t>Система</w:t>
      </w:r>
      <w:r w:rsidRPr="00F641CE">
        <w:t xml:space="preserve"> электронного документооборота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86124" w14:textId="77777777" w:rsidR="00136C97" w:rsidRDefault="00136C97" w:rsidP="00216AB1">
    <w:pPr>
      <w:pStyle w:val="af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45B"/>
    <w:multiLevelType w:val="multilevel"/>
    <w:tmpl w:val="C7661FFE"/>
    <w:styleLink w:val="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DA4666"/>
    <w:multiLevelType w:val="multilevel"/>
    <w:tmpl w:val="E8940632"/>
    <w:styleLink w:val="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25276E"/>
    <w:multiLevelType w:val="multilevel"/>
    <w:tmpl w:val="66BE104C"/>
    <w:styleLink w:val="12"/>
    <w:lvl w:ilvl="0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710236"/>
    <w:multiLevelType w:val="hybridMultilevel"/>
    <w:tmpl w:val="0CE86ED6"/>
    <w:lvl w:ilvl="0" w:tplc="04190001">
      <w:start w:val="1"/>
      <w:numFmt w:val="bullet"/>
      <w:lvlText w:val=""/>
      <w:lvlJc w:val="left"/>
      <w:pPr>
        <w:ind w:left="-3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8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</w:abstractNum>
  <w:abstractNum w:abstractNumId="4" w15:restartNumberingAfterBreak="0">
    <w:nsid w:val="08CB0AD1"/>
    <w:multiLevelType w:val="multilevel"/>
    <w:tmpl w:val="F3D26034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D436596"/>
    <w:multiLevelType w:val="multilevel"/>
    <w:tmpl w:val="2A427326"/>
    <w:styleLink w:val="9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DB33E59"/>
    <w:multiLevelType w:val="hybridMultilevel"/>
    <w:tmpl w:val="21F2CA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C3D45"/>
    <w:multiLevelType w:val="hybridMultilevel"/>
    <w:tmpl w:val="75CA479E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8" w15:restartNumberingAfterBreak="0">
    <w:nsid w:val="1426215C"/>
    <w:multiLevelType w:val="hybridMultilevel"/>
    <w:tmpl w:val="15D6FF50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801FCD"/>
    <w:multiLevelType w:val="hybridMultilevel"/>
    <w:tmpl w:val="7D86E9A8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0" w15:restartNumberingAfterBreak="0">
    <w:nsid w:val="151632B6"/>
    <w:multiLevelType w:val="hybridMultilevel"/>
    <w:tmpl w:val="5BBE1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206AE"/>
    <w:multiLevelType w:val="hybridMultilevel"/>
    <w:tmpl w:val="C7E42718"/>
    <w:lvl w:ilvl="0" w:tplc="CE2058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5E522C8"/>
    <w:multiLevelType w:val="hybridMultilevel"/>
    <w:tmpl w:val="A5C873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2D4BA5"/>
    <w:multiLevelType w:val="hybridMultilevel"/>
    <w:tmpl w:val="39222C22"/>
    <w:lvl w:ilvl="0" w:tplc="EAA20C7C">
      <w:start w:val="2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7DC69D8E">
      <w:numFmt w:val="bullet"/>
      <w:lvlText w:val="•"/>
      <w:lvlJc w:val="left"/>
      <w:pPr>
        <w:ind w:left="1545" w:hanging="46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94905"/>
    <w:multiLevelType w:val="hybridMultilevel"/>
    <w:tmpl w:val="BC28D2B6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91B6294"/>
    <w:multiLevelType w:val="hybridMultilevel"/>
    <w:tmpl w:val="985EE7AA"/>
    <w:lvl w:ilvl="0" w:tplc="0419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A183BCA"/>
    <w:multiLevelType w:val="hybridMultilevel"/>
    <w:tmpl w:val="BC28D2B6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1DF31F63"/>
    <w:multiLevelType w:val="hybridMultilevel"/>
    <w:tmpl w:val="19AC21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3418A"/>
    <w:multiLevelType w:val="hybridMultilevel"/>
    <w:tmpl w:val="A5C873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00725F"/>
    <w:multiLevelType w:val="multilevel"/>
    <w:tmpl w:val="A9860170"/>
    <w:styleLink w:val="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0FD48F3"/>
    <w:multiLevelType w:val="hybridMultilevel"/>
    <w:tmpl w:val="BC28D2B6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13E0AEB"/>
    <w:multiLevelType w:val="hybridMultilevel"/>
    <w:tmpl w:val="A5C873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65380A"/>
    <w:multiLevelType w:val="hybridMultilevel"/>
    <w:tmpl w:val="33C20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C51B6D"/>
    <w:multiLevelType w:val="hybridMultilevel"/>
    <w:tmpl w:val="BC28D2B6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7D540FE"/>
    <w:multiLevelType w:val="hybridMultilevel"/>
    <w:tmpl w:val="396E8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C41F3A"/>
    <w:multiLevelType w:val="multilevel"/>
    <w:tmpl w:val="5950BD6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2F3B1FCE"/>
    <w:multiLevelType w:val="hybridMultilevel"/>
    <w:tmpl w:val="CF7EB86C"/>
    <w:lvl w:ilvl="0" w:tplc="1242A9BA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09B790F"/>
    <w:multiLevelType w:val="hybridMultilevel"/>
    <w:tmpl w:val="F4C03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FD4CC3"/>
    <w:multiLevelType w:val="multilevel"/>
    <w:tmpl w:val="85F6B05A"/>
    <w:styleLink w:val="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37A04AC"/>
    <w:multiLevelType w:val="hybridMultilevel"/>
    <w:tmpl w:val="BC28D2B6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46C5452"/>
    <w:multiLevelType w:val="hybridMultilevel"/>
    <w:tmpl w:val="36AE216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352F06BC"/>
    <w:multiLevelType w:val="hybridMultilevel"/>
    <w:tmpl w:val="1AE64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002DCA"/>
    <w:multiLevelType w:val="hybridMultilevel"/>
    <w:tmpl w:val="B30C6C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377D703D"/>
    <w:multiLevelType w:val="hybridMultilevel"/>
    <w:tmpl w:val="3D26666C"/>
    <w:lvl w:ilvl="0" w:tplc="CE20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15158C"/>
    <w:multiLevelType w:val="hybridMultilevel"/>
    <w:tmpl w:val="A5C873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827360"/>
    <w:multiLevelType w:val="hybridMultilevel"/>
    <w:tmpl w:val="E84C4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727926"/>
    <w:multiLevelType w:val="multilevel"/>
    <w:tmpl w:val="6D48CF0A"/>
    <w:styleLink w:val="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3E8A6CB8"/>
    <w:multiLevelType w:val="hybridMultilevel"/>
    <w:tmpl w:val="2B607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CA6226"/>
    <w:multiLevelType w:val="multilevel"/>
    <w:tmpl w:val="1FCAEF9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39" w15:restartNumberingAfterBreak="0">
    <w:nsid w:val="40EB4A3D"/>
    <w:multiLevelType w:val="hybridMultilevel"/>
    <w:tmpl w:val="C0F28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13A12CE"/>
    <w:multiLevelType w:val="multilevel"/>
    <w:tmpl w:val="21D2FDB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1" w:hanging="4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1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43025FB4"/>
    <w:multiLevelType w:val="hybridMultilevel"/>
    <w:tmpl w:val="72E8A138"/>
    <w:lvl w:ilvl="0" w:tplc="7CA07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0C52F0"/>
    <w:multiLevelType w:val="hybridMultilevel"/>
    <w:tmpl w:val="33C2F4B6"/>
    <w:lvl w:ilvl="0" w:tplc="7CA07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54650"/>
    <w:multiLevelType w:val="multilevel"/>
    <w:tmpl w:val="3D88E348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45021C8F"/>
    <w:multiLevelType w:val="hybridMultilevel"/>
    <w:tmpl w:val="A5C873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6416FB7"/>
    <w:multiLevelType w:val="hybridMultilevel"/>
    <w:tmpl w:val="1B4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CF34B6C"/>
    <w:multiLevelType w:val="hybridMultilevel"/>
    <w:tmpl w:val="6F90791E"/>
    <w:lvl w:ilvl="0" w:tplc="0419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47" w15:restartNumberingAfterBreak="0">
    <w:nsid w:val="4DFF6D0B"/>
    <w:multiLevelType w:val="hybridMultilevel"/>
    <w:tmpl w:val="5936F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6E1E7B"/>
    <w:multiLevelType w:val="multilevel"/>
    <w:tmpl w:val="C492B748"/>
    <w:styleLink w:val="110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F0549DE"/>
    <w:multiLevelType w:val="hybridMultilevel"/>
    <w:tmpl w:val="C998619A"/>
    <w:lvl w:ilvl="0" w:tplc="74CC2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A56B27"/>
    <w:multiLevelType w:val="multilevel"/>
    <w:tmpl w:val="5C70A570"/>
    <w:styleLink w:val="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53AB1454"/>
    <w:multiLevelType w:val="hybridMultilevel"/>
    <w:tmpl w:val="A5C8737C"/>
    <w:lvl w:ilvl="0" w:tplc="E1C4AEBE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8E73B7"/>
    <w:multiLevelType w:val="hybridMultilevel"/>
    <w:tmpl w:val="A5C873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DB3BE0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D1774A4"/>
    <w:multiLevelType w:val="hybridMultilevel"/>
    <w:tmpl w:val="22D0C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637892"/>
    <w:multiLevelType w:val="hybridMultilevel"/>
    <w:tmpl w:val="BC28D2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603D5A56"/>
    <w:multiLevelType w:val="multilevel"/>
    <w:tmpl w:val="B4444A14"/>
    <w:styleLink w:val="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60E4622A"/>
    <w:multiLevelType w:val="hybridMultilevel"/>
    <w:tmpl w:val="79E4B3A6"/>
    <w:lvl w:ilvl="0" w:tplc="CE20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4C44E8"/>
    <w:multiLevelType w:val="multilevel"/>
    <w:tmpl w:val="189A33B2"/>
    <w:styleLink w:val="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6E475C56"/>
    <w:multiLevelType w:val="multilevel"/>
    <w:tmpl w:val="CF92AE2E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0" w15:restartNumberingAfterBreak="0">
    <w:nsid w:val="6EE7675B"/>
    <w:multiLevelType w:val="hybridMultilevel"/>
    <w:tmpl w:val="A5C8737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D965CE"/>
    <w:multiLevelType w:val="hybridMultilevel"/>
    <w:tmpl w:val="D8665DD8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6E573A4"/>
    <w:multiLevelType w:val="hybridMultilevel"/>
    <w:tmpl w:val="33A25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7B12672"/>
    <w:multiLevelType w:val="hybridMultilevel"/>
    <w:tmpl w:val="1A20A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881B32"/>
    <w:multiLevelType w:val="multilevel"/>
    <w:tmpl w:val="AD52D936"/>
    <w:lvl w:ilvl="0">
      <w:start w:val="1"/>
      <w:numFmt w:val="decimal"/>
      <w:lvlText w:val="%1."/>
      <w:lvlJc w:val="left"/>
      <w:pPr>
        <w:ind w:left="7667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7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1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4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37" w:hanging="2160"/>
      </w:pPr>
      <w:rPr>
        <w:rFonts w:hint="default"/>
      </w:rPr>
    </w:lvl>
  </w:abstractNum>
  <w:abstractNum w:abstractNumId="65" w15:restartNumberingAfterBreak="0">
    <w:nsid w:val="7A611D54"/>
    <w:multiLevelType w:val="hybridMultilevel"/>
    <w:tmpl w:val="86944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3E4A7A"/>
    <w:multiLevelType w:val="hybridMultilevel"/>
    <w:tmpl w:val="B7E2E2B0"/>
    <w:lvl w:ilvl="0" w:tplc="CE2058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7B763781"/>
    <w:multiLevelType w:val="hybridMultilevel"/>
    <w:tmpl w:val="2B5CD1AC"/>
    <w:lvl w:ilvl="0" w:tplc="CE20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BAA7A90"/>
    <w:multiLevelType w:val="multilevel"/>
    <w:tmpl w:val="EEE4616C"/>
    <w:styleLink w:val="13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 w15:restartNumberingAfterBreak="0">
    <w:nsid w:val="7EFF3E6D"/>
    <w:multiLevelType w:val="hybridMultilevel"/>
    <w:tmpl w:val="1DDE2FDC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52"/>
  </w:num>
  <w:num w:numId="3">
    <w:abstractNumId w:val="4"/>
  </w:num>
  <w:num w:numId="4">
    <w:abstractNumId w:val="28"/>
  </w:num>
  <w:num w:numId="5">
    <w:abstractNumId w:val="55"/>
  </w:num>
  <w:num w:numId="6">
    <w:abstractNumId w:val="11"/>
  </w:num>
  <w:num w:numId="7">
    <w:abstractNumId w:val="40"/>
  </w:num>
  <w:num w:numId="8">
    <w:abstractNumId w:val="53"/>
  </w:num>
  <w:num w:numId="9">
    <w:abstractNumId w:val="58"/>
  </w:num>
  <w:num w:numId="10">
    <w:abstractNumId w:val="36"/>
  </w:num>
  <w:num w:numId="11">
    <w:abstractNumId w:val="50"/>
  </w:num>
  <w:num w:numId="12">
    <w:abstractNumId w:val="1"/>
  </w:num>
  <w:num w:numId="13">
    <w:abstractNumId w:val="56"/>
  </w:num>
  <w:num w:numId="14">
    <w:abstractNumId w:val="19"/>
  </w:num>
  <w:num w:numId="15">
    <w:abstractNumId w:val="5"/>
  </w:num>
  <w:num w:numId="16">
    <w:abstractNumId w:val="0"/>
  </w:num>
  <w:num w:numId="17">
    <w:abstractNumId w:val="20"/>
  </w:num>
  <w:num w:numId="18">
    <w:abstractNumId w:val="12"/>
  </w:num>
  <w:num w:numId="19">
    <w:abstractNumId w:val="23"/>
  </w:num>
  <w:num w:numId="20">
    <w:abstractNumId w:val="66"/>
  </w:num>
  <w:num w:numId="21">
    <w:abstractNumId w:val="16"/>
  </w:num>
  <w:num w:numId="22">
    <w:abstractNumId w:val="48"/>
  </w:num>
  <w:num w:numId="23">
    <w:abstractNumId w:val="2"/>
  </w:num>
  <w:num w:numId="24">
    <w:abstractNumId w:val="68"/>
  </w:num>
  <w:num w:numId="25">
    <w:abstractNumId w:val="18"/>
  </w:num>
  <w:num w:numId="26">
    <w:abstractNumId w:val="34"/>
  </w:num>
  <w:num w:numId="27">
    <w:abstractNumId w:val="21"/>
  </w:num>
  <w:num w:numId="28">
    <w:abstractNumId w:val="44"/>
  </w:num>
  <w:num w:numId="29">
    <w:abstractNumId w:val="29"/>
  </w:num>
  <w:num w:numId="30">
    <w:abstractNumId w:val="60"/>
  </w:num>
  <w:num w:numId="31">
    <w:abstractNumId w:val="14"/>
  </w:num>
  <w:num w:numId="32">
    <w:abstractNumId w:val="67"/>
  </w:num>
  <w:num w:numId="33">
    <w:abstractNumId w:val="33"/>
  </w:num>
  <w:num w:numId="34">
    <w:abstractNumId w:val="57"/>
  </w:num>
  <w:num w:numId="35">
    <w:abstractNumId w:val="15"/>
  </w:num>
  <w:num w:numId="36">
    <w:abstractNumId w:val="9"/>
  </w:num>
  <w:num w:numId="37">
    <w:abstractNumId w:val="7"/>
  </w:num>
  <w:num w:numId="38">
    <w:abstractNumId w:val="26"/>
  </w:num>
  <w:num w:numId="39">
    <w:abstractNumId w:val="31"/>
  </w:num>
  <w:num w:numId="40">
    <w:abstractNumId w:val="46"/>
  </w:num>
  <w:num w:numId="41">
    <w:abstractNumId w:val="62"/>
  </w:num>
  <w:num w:numId="42">
    <w:abstractNumId w:val="64"/>
  </w:num>
  <w:num w:numId="43">
    <w:abstractNumId w:val="17"/>
  </w:num>
  <w:num w:numId="44">
    <w:abstractNumId w:val="49"/>
  </w:num>
  <w:num w:numId="45">
    <w:abstractNumId w:val="3"/>
  </w:num>
  <w:num w:numId="46">
    <w:abstractNumId w:val="65"/>
  </w:num>
  <w:num w:numId="47">
    <w:abstractNumId w:val="47"/>
  </w:num>
  <w:num w:numId="48">
    <w:abstractNumId w:val="24"/>
  </w:num>
  <w:num w:numId="49">
    <w:abstractNumId w:val="30"/>
  </w:num>
  <w:num w:numId="50">
    <w:abstractNumId w:val="10"/>
  </w:num>
  <w:num w:numId="51">
    <w:abstractNumId w:val="39"/>
  </w:num>
  <w:num w:numId="52">
    <w:abstractNumId w:val="27"/>
  </w:num>
  <w:num w:numId="53">
    <w:abstractNumId w:val="32"/>
  </w:num>
  <w:num w:numId="54">
    <w:abstractNumId w:val="25"/>
  </w:num>
  <w:num w:numId="55">
    <w:abstractNumId w:val="22"/>
  </w:num>
  <w:num w:numId="56">
    <w:abstractNumId w:val="45"/>
  </w:num>
  <w:num w:numId="57">
    <w:abstractNumId w:val="35"/>
  </w:num>
  <w:num w:numId="58">
    <w:abstractNumId w:val="61"/>
  </w:num>
  <w:num w:numId="59">
    <w:abstractNumId w:val="8"/>
  </w:num>
  <w:num w:numId="60">
    <w:abstractNumId w:val="13"/>
  </w:num>
  <w:num w:numId="61">
    <w:abstractNumId w:val="59"/>
  </w:num>
  <w:num w:numId="62">
    <w:abstractNumId w:val="6"/>
  </w:num>
  <w:num w:numId="63">
    <w:abstractNumId w:val="43"/>
  </w:num>
  <w:num w:numId="64">
    <w:abstractNumId w:val="41"/>
  </w:num>
  <w:num w:numId="65">
    <w:abstractNumId w:val="38"/>
  </w:num>
  <w:num w:numId="66">
    <w:abstractNumId w:val="63"/>
  </w:num>
  <w:num w:numId="67">
    <w:abstractNumId w:val="54"/>
  </w:num>
  <w:num w:numId="68">
    <w:abstractNumId w:val="37"/>
  </w:num>
  <w:num w:numId="69">
    <w:abstractNumId w:val="69"/>
  </w:num>
  <w:num w:numId="70">
    <w:abstractNumId w:val="42"/>
  </w:num>
  <w:num w:numId="71">
    <w:abstractNumId w:val="4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A0"/>
    <w:rsid w:val="00002BAC"/>
    <w:rsid w:val="00004993"/>
    <w:rsid w:val="000078FD"/>
    <w:rsid w:val="00012368"/>
    <w:rsid w:val="00014AB4"/>
    <w:rsid w:val="00022339"/>
    <w:rsid w:val="000234BB"/>
    <w:rsid w:val="00024C4F"/>
    <w:rsid w:val="00027D8B"/>
    <w:rsid w:val="00044030"/>
    <w:rsid w:val="00045B79"/>
    <w:rsid w:val="0004611F"/>
    <w:rsid w:val="00047E58"/>
    <w:rsid w:val="00050714"/>
    <w:rsid w:val="000515FD"/>
    <w:rsid w:val="00057031"/>
    <w:rsid w:val="00064880"/>
    <w:rsid w:val="00065E99"/>
    <w:rsid w:val="00076F93"/>
    <w:rsid w:val="00080F4A"/>
    <w:rsid w:val="00085AA7"/>
    <w:rsid w:val="00085BDF"/>
    <w:rsid w:val="00085DB2"/>
    <w:rsid w:val="00090460"/>
    <w:rsid w:val="00090A54"/>
    <w:rsid w:val="000B6D41"/>
    <w:rsid w:val="000B73CE"/>
    <w:rsid w:val="000C4328"/>
    <w:rsid w:val="000D1291"/>
    <w:rsid w:val="000D413D"/>
    <w:rsid w:val="000D5431"/>
    <w:rsid w:val="000E215D"/>
    <w:rsid w:val="000F0DC6"/>
    <w:rsid w:val="000F152B"/>
    <w:rsid w:val="000F47E1"/>
    <w:rsid w:val="0010681D"/>
    <w:rsid w:val="00106F03"/>
    <w:rsid w:val="00106FDA"/>
    <w:rsid w:val="00107342"/>
    <w:rsid w:val="0011269C"/>
    <w:rsid w:val="00112BB9"/>
    <w:rsid w:val="001176D8"/>
    <w:rsid w:val="0012029C"/>
    <w:rsid w:val="0012063E"/>
    <w:rsid w:val="0012110D"/>
    <w:rsid w:val="001234A6"/>
    <w:rsid w:val="00123B7E"/>
    <w:rsid w:val="00124433"/>
    <w:rsid w:val="00125152"/>
    <w:rsid w:val="00130755"/>
    <w:rsid w:val="0013330E"/>
    <w:rsid w:val="00134DBB"/>
    <w:rsid w:val="00136C97"/>
    <w:rsid w:val="00140807"/>
    <w:rsid w:val="0014101D"/>
    <w:rsid w:val="00146576"/>
    <w:rsid w:val="001479A4"/>
    <w:rsid w:val="00150197"/>
    <w:rsid w:val="00154961"/>
    <w:rsid w:val="001550E1"/>
    <w:rsid w:val="0015694F"/>
    <w:rsid w:val="001654BC"/>
    <w:rsid w:val="001663C7"/>
    <w:rsid w:val="00174348"/>
    <w:rsid w:val="00180B61"/>
    <w:rsid w:val="001810AD"/>
    <w:rsid w:val="00184072"/>
    <w:rsid w:val="001843DD"/>
    <w:rsid w:val="0018617F"/>
    <w:rsid w:val="001901FC"/>
    <w:rsid w:val="00192242"/>
    <w:rsid w:val="0019465B"/>
    <w:rsid w:val="00195606"/>
    <w:rsid w:val="001962CF"/>
    <w:rsid w:val="00196ED0"/>
    <w:rsid w:val="00197B4C"/>
    <w:rsid w:val="001B477D"/>
    <w:rsid w:val="001B6DA9"/>
    <w:rsid w:val="001C05E7"/>
    <w:rsid w:val="001C3D92"/>
    <w:rsid w:val="001C3F3B"/>
    <w:rsid w:val="001C59A9"/>
    <w:rsid w:val="001C6622"/>
    <w:rsid w:val="001D4A76"/>
    <w:rsid w:val="001D62B3"/>
    <w:rsid w:val="001E75A4"/>
    <w:rsid w:val="001F22FF"/>
    <w:rsid w:val="001F4BEC"/>
    <w:rsid w:val="001F560B"/>
    <w:rsid w:val="001F64A6"/>
    <w:rsid w:val="00202DC8"/>
    <w:rsid w:val="00202EB8"/>
    <w:rsid w:val="002105B6"/>
    <w:rsid w:val="00213681"/>
    <w:rsid w:val="00215A80"/>
    <w:rsid w:val="00216AB1"/>
    <w:rsid w:val="00217D3D"/>
    <w:rsid w:val="00221A15"/>
    <w:rsid w:val="00221A66"/>
    <w:rsid w:val="00227C0C"/>
    <w:rsid w:val="00241EF1"/>
    <w:rsid w:val="00242540"/>
    <w:rsid w:val="0024362E"/>
    <w:rsid w:val="00244FF3"/>
    <w:rsid w:val="00246EDB"/>
    <w:rsid w:val="0024702E"/>
    <w:rsid w:val="00256F7E"/>
    <w:rsid w:val="00260735"/>
    <w:rsid w:val="00264FA9"/>
    <w:rsid w:val="002659BD"/>
    <w:rsid w:val="002749D3"/>
    <w:rsid w:val="002776C8"/>
    <w:rsid w:val="00282370"/>
    <w:rsid w:val="00283A52"/>
    <w:rsid w:val="00286D2E"/>
    <w:rsid w:val="00291F73"/>
    <w:rsid w:val="00294FB6"/>
    <w:rsid w:val="002964C2"/>
    <w:rsid w:val="002A65A0"/>
    <w:rsid w:val="002A671F"/>
    <w:rsid w:val="002B2F9F"/>
    <w:rsid w:val="002B3283"/>
    <w:rsid w:val="002B4EE8"/>
    <w:rsid w:val="002C094F"/>
    <w:rsid w:val="002C1CDC"/>
    <w:rsid w:val="002C27AA"/>
    <w:rsid w:val="002C4F72"/>
    <w:rsid w:val="002C644E"/>
    <w:rsid w:val="002C7428"/>
    <w:rsid w:val="002C7CF1"/>
    <w:rsid w:val="002D0413"/>
    <w:rsid w:val="002D33F2"/>
    <w:rsid w:val="002D7893"/>
    <w:rsid w:val="002E00EB"/>
    <w:rsid w:val="002E6960"/>
    <w:rsid w:val="002F6471"/>
    <w:rsid w:val="002F72C0"/>
    <w:rsid w:val="0030049A"/>
    <w:rsid w:val="00301AED"/>
    <w:rsid w:val="00304D4C"/>
    <w:rsid w:val="00320461"/>
    <w:rsid w:val="003219C3"/>
    <w:rsid w:val="0032740B"/>
    <w:rsid w:val="003311B2"/>
    <w:rsid w:val="00331F84"/>
    <w:rsid w:val="00333F35"/>
    <w:rsid w:val="0033548C"/>
    <w:rsid w:val="00337022"/>
    <w:rsid w:val="003404F3"/>
    <w:rsid w:val="003437F3"/>
    <w:rsid w:val="003452EC"/>
    <w:rsid w:val="003472BC"/>
    <w:rsid w:val="003509B9"/>
    <w:rsid w:val="00350E0E"/>
    <w:rsid w:val="00351DBC"/>
    <w:rsid w:val="0035347C"/>
    <w:rsid w:val="00354551"/>
    <w:rsid w:val="00354BC2"/>
    <w:rsid w:val="00354F1B"/>
    <w:rsid w:val="00356949"/>
    <w:rsid w:val="00361C83"/>
    <w:rsid w:val="003872AE"/>
    <w:rsid w:val="00387A88"/>
    <w:rsid w:val="0039385C"/>
    <w:rsid w:val="00396C34"/>
    <w:rsid w:val="00397DFA"/>
    <w:rsid w:val="003A2EEA"/>
    <w:rsid w:val="003A4111"/>
    <w:rsid w:val="003B5B9E"/>
    <w:rsid w:val="003C114A"/>
    <w:rsid w:val="003C12AA"/>
    <w:rsid w:val="003C1D80"/>
    <w:rsid w:val="003C3C94"/>
    <w:rsid w:val="003C715D"/>
    <w:rsid w:val="003D01A7"/>
    <w:rsid w:val="003E37EC"/>
    <w:rsid w:val="003E3D79"/>
    <w:rsid w:val="003E44CB"/>
    <w:rsid w:val="003E6E26"/>
    <w:rsid w:val="003F0E0A"/>
    <w:rsid w:val="003F288E"/>
    <w:rsid w:val="003F3D77"/>
    <w:rsid w:val="003F69D2"/>
    <w:rsid w:val="004045AE"/>
    <w:rsid w:val="00406462"/>
    <w:rsid w:val="00407350"/>
    <w:rsid w:val="00407F13"/>
    <w:rsid w:val="004115FB"/>
    <w:rsid w:val="004147D8"/>
    <w:rsid w:val="004149FC"/>
    <w:rsid w:val="004178FB"/>
    <w:rsid w:val="00420655"/>
    <w:rsid w:val="004220AE"/>
    <w:rsid w:val="00423575"/>
    <w:rsid w:val="00423B8C"/>
    <w:rsid w:val="004268B1"/>
    <w:rsid w:val="00434A5A"/>
    <w:rsid w:val="00443074"/>
    <w:rsid w:val="004527D8"/>
    <w:rsid w:val="00454754"/>
    <w:rsid w:val="00457D77"/>
    <w:rsid w:val="00466455"/>
    <w:rsid w:val="00467F55"/>
    <w:rsid w:val="00470055"/>
    <w:rsid w:val="004800E3"/>
    <w:rsid w:val="0048292F"/>
    <w:rsid w:val="004867C5"/>
    <w:rsid w:val="00487136"/>
    <w:rsid w:val="004910CA"/>
    <w:rsid w:val="00492A3B"/>
    <w:rsid w:val="00493AEE"/>
    <w:rsid w:val="004977B1"/>
    <w:rsid w:val="004A0BDC"/>
    <w:rsid w:val="004A1FE2"/>
    <w:rsid w:val="004A4974"/>
    <w:rsid w:val="004A49FA"/>
    <w:rsid w:val="004A540F"/>
    <w:rsid w:val="004A6995"/>
    <w:rsid w:val="004B1D7F"/>
    <w:rsid w:val="004B2928"/>
    <w:rsid w:val="004B2ADE"/>
    <w:rsid w:val="004B400B"/>
    <w:rsid w:val="004B520A"/>
    <w:rsid w:val="004B5C3B"/>
    <w:rsid w:val="004B796F"/>
    <w:rsid w:val="004B7985"/>
    <w:rsid w:val="004C3ED7"/>
    <w:rsid w:val="004C40BD"/>
    <w:rsid w:val="004D1D31"/>
    <w:rsid w:val="004D533F"/>
    <w:rsid w:val="004E0218"/>
    <w:rsid w:val="004E4E91"/>
    <w:rsid w:val="004F01A3"/>
    <w:rsid w:val="004F2163"/>
    <w:rsid w:val="004F304C"/>
    <w:rsid w:val="004F372F"/>
    <w:rsid w:val="004F63F4"/>
    <w:rsid w:val="004F69ED"/>
    <w:rsid w:val="004F7BDB"/>
    <w:rsid w:val="00500548"/>
    <w:rsid w:val="005030BA"/>
    <w:rsid w:val="00505C83"/>
    <w:rsid w:val="00512491"/>
    <w:rsid w:val="00514662"/>
    <w:rsid w:val="00521D25"/>
    <w:rsid w:val="00523D68"/>
    <w:rsid w:val="0052587F"/>
    <w:rsid w:val="00525EF5"/>
    <w:rsid w:val="00526B14"/>
    <w:rsid w:val="005369DB"/>
    <w:rsid w:val="005373AD"/>
    <w:rsid w:val="0055528F"/>
    <w:rsid w:val="00564584"/>
    <w:rsid w:val="005655ED"/>
    <w:rsid w:val="00565FC4"/>
    <w:rsid w:val="0056669B"/>
    <w:rsid w:val="00574515"/>
    <w:rsid w:val="00575015"/>
    <w:rsid w:val="00585445"/>
    <w:rsid w:val="00590133"/>
    <w:rsid w:val="005926AA"/>
    <w:rsid w:val="00593F4A"/>
    <w:rsid w:val="00594F32"/>
    <w:rsid w:val="00597D66"/>
    <w:rsid w:val="005A046C"/>
    <w:rsid w:val="005A121C"/>
    <w:rsid w:val="005A1871"/>
    <w:rsid w:val="005A25AE"/>
    <w:rsid w:val="005A450D"/>
    <w:rsid w:val="005A4581"/>
    <w:rsid w:val="005A4972"/>
    <w:rsid w:val="005A5639"/>
    <w:rsid w:val="005A57E5"/>
    <w:rsid w:val="005B04AC"/>
    <w:rsid w:val="005B4866"/>
    <w:rsid w:val="005B5B13"/>
    <w:rsid w:val="005C7DBB"/>
    <w:rsid w:val="005D4552"/>
    <w:rsid w:val="005D5061"/>
    <w:rsid w:val="005D59AB"/>
    <w:rsid w:val="005E29F4"/>
    <w:rsid w:val="005E2CB3"/>
    <w:rsid w:val="005E2ED0"/>
    <w:rsid w:val="005E3ED3"/>
    <w:rsid w:val="005E415C"/>
    <w:rsid w:val="005E5476"/>
    <w:rsid w:val="005E63F2"/>
    <w:rsid w:val="005F0554"/>
    <w:rsid w:val="005F5D49"/>
    <w:rsid w:val="005F6EEC"/>
    <w:rsid w:val="00602592"/>
    <w:rsid w:val="0060365C"/>
    <w:rsid w:val="00604DDB"/>
    <w:rsid w:val="00605A45"/>
    <w:rsid w:val="00621F33"/>
    <w:rsid w:val="00622310"/>
    <w:rsid w:val="00624187"/>
    <w:rsid w:val="006368F9"/>
    <w:rsid w:val="00637F42"/>
    <w:rsid w:val="00640BB4"/>
    <w:rsid w:val="0064599C"/>
    <w:rsid w:val="00646349"/>
    <w:rsid w:val="00646EE2"/>
    <w:rsid w:val="00657F14"/>
    <w:rsid w:val="0066001C"/>
    <w:rsid w:val="00671976"/>
    <w:rsid w:val="00674C01"/>
    <w:rsid w:val="00675614"/>
    <w:rsid w:val="00675B36"/>
    <w:rsid w:val="00676382"/>
    <w:rsid w:val="00681455"/>
    <w:rsid w:val="0068281E"/>
    <w:rsid w:val="00683F86"/>
    <w:rsid w:val="00685F0B"/>
    <w:rsid w:val="0069178E"/>
    <w:rsid w:val="00694DAB"/>
    <w:rsid w:val="0069750D"/>
    <w:rsid w:val="006979E0"/>
    <w:rsid w:val="006A0172"/>
    <w:rsid w:val="006A19FA"/>
    <w:rsid w:val="006A1FE7"/>
    <w:rsid w:val="006A28EA"/>
    <w:rsid w:val="006A513C"/>
    <w:rsid w:val="006A572F"/>
    <w:rsid w:val="006A682E"/>
    <w:rsid w:val="006B1435"/>
    <w:rsid w:val="006B1BB1"/>
    <w:rsid w:val="006B1DF0"/>
    <w:rsid w:val="006B4EBF"/>
    <w:rsid w:val="006B7E47"/>
    <w:rsid w:val="006C0C95"/>
    <w:rsid w:val="006C1F1E"/>
    <w:rsid w:val="006D25CA"/>
    <w:rsid w:val="006D26E4"/>
    <w:rsid w:val="006D594A"/>
    <w:rsid w:val="006E2FDF"/>
    <w:rsid w:val="006F3A9E"/>
    <w:rsid w:val="006F5237"/>
    <w:rsid w:val="007022EB"/>
    <w:rsid w:val="00712334"/>
    <w:rsid w:val="007131C3"/>
    <w:rsid w:val="007159C3"/>
    <w:rsid w:val="00721D54"/>
    <w:rsid w:val="007355FC"/>
    <w:rsid w:val="007374B2"/>
    <w:rsid w:val="00742DFD"/>
    <w:rsid w:val="00743D60"/>
    <w:rsid w:val="00745701"/>
    <w:rsid w:val="00747256"/>
    <w:rsid w:val="00750641"/>
    <w:rsid w:val="00752518"/>
    <w:rsid w:val="00752F48"/>
    <w:rsid w:val="00764019"/>
    <w:rsid w:val="00765570"/>
    <w:rsid w:val="007706E2"/>
    <w:rsid w:val="00771465"/>
    <w:rsid w:val="00771F21"/>
    <w:rsid w:val="00772D43"/>
    <w:rsid w:val="007827E0"/>
    <w:rsid w:val="007836B2"/>
    <w:rsid w:val="00783E0D"/>
    <w:rsid w:val="007924F3"/>
    <w:rsid w:val="00793F1F"/>
    <w:rsid w:val="00795F29"/>
    <w:rsid w:val="0079698D"/>
    <w:rsid w:val="007970CF"/>
    <w:rsid w:val="007A1B8C"/>
    <w:rsid w:val="007A1C2B"/>
    <w:rsid w:val="007A2AB3"/>
    <w:rsid w:val="007B0899"/>
    <w:rsid w:val="007B7B6C"/>
    <w:rsid w:val="007C166A"/>
    <w:rsid w:val="007C3812"/>
    <w:rsid w:val="007C6A24"/>
    <w:rsid w:val="007D1548"/>
    <w:rsid w:val="007D5A7A"/>
    <w:rsid w:val="007D6912"/>
    <w:rsid w:val="007D6E67"/>
    <w:rsid w:val="007E01EA"/>
    <w:rsid w:val="007E1314"/>
    <w:rsid w:val="007E198E"/>
    <w:rsid w:val="007E19F1"/>
    <w:rsid w:val="007E1C41"/>
    <w:rsid w:val="007E2E20"/>
    <w:rsid w:val="007F3799"/>
    <w:rsid w:val="007F7272"/>
    <w:rsid w:val="007F7FF0"/>
    <w:rsid w:val="00802232"/>
    <w:rsid w:val="00803232"/>
    <w:rsid w:val="00805CE8"/>
    <w:rsid w:val="0081017E"/>
    <w:rsid w:val="008116C0"/>
    <w:rsid w:val="00815280"/>
    <w:rsid w:val="0082094E"/>
    <w:rsid w:val="0082125A"/>
    <w:rsid w:val="008213B3"/>
    <w:rsid w:val="008241E1"/>
    <w:rsid w:val="00824698"/>
    <w:rsid w:val="0082645B"/>
    <w:rsid w:val="00834070"/>
    <w:rsid w:val="008363A1"/>
    <w:rsid w:val="0083689F"/>
    <w:rsid w:val="00842033"/>
    <w:rsid w:val="00850B9B"/>
    <w:rsid w:val="008546A4"/>
    <w:rsid w:val="0085475F"/>
    <w:rsid w:val="008608C9"/>
    <w:rsid w:val="00865F8F"/>
    <w:rsid w:val="008672F0"/>
    <w:rsid w:val="00875E4A"/>
    <w:rsid w:val="00876DB7"/>
    <w:rsid w:val="00877AD8"/>
    <w:rsid w:val="00883380"/>
    <w:rsid w:val="00885E88"/>
    <w:rsid w:val="00892697"/>
    <w:rsid w:val="00893043"/>
    <w:rsid w:val="008941ED"/>
    <w:rsid w:val="008950B1"/>
    <w:rsid w:val="008A799A"/>
    <w:rsid w:val="008B0F0B"/>
    <w:rsid w:val="008B2719"/>
    <w:rsid w:val="008B2A40"/>
    <w:rsid w:val="008B58B5"/>
    <w:rsid w:val="008C098E"/>
    <w:rsid w:val="008C1FA7"/>
    <w:rsid w:val="008C28B6"/>
    <w:rsid w:val="008C3A60"/>
    <w:rsid w:val="008C617D"/>
    <w:rsid w:val="008D3516"/>
    <w:rsid w:val="008D4E8E"/>
    <w:rsid w:val="008D5CC9"/>
    <w:rsid w:val="008D60FD"/>
    <w:rsid w:val="008F1393"/>
    <w:rsid w:val="008F4948"/>
    <w:rsid w:val="008F7CAF"/>
    <w:rsid w:val="009060BB"/>
    <w:rsid w:val="00912574"/>
    <w:rsid w:val="00920A94"/>
    <w:rsid w:val="00921C38"/>
    <w:rsid w:val="009239E7"/>
    <w:rsid w:val="00924FCA"/>
    <w:rsid w:val="00930D16"/>
    <w:rsid w:val="00932FCF"/>
    <w:rsid w:val="009336E3"/>
    <w:rsid w:val="00934E8E"/>
    <w:rsid w:val="00947E4B"/>
    <w:rsid w:val="00963245"/>
    <w:rsid w:val="00963834"/>
    <w:rsid w:val="00967A27"/>
    <w:rsid w:val="0097534E"/>
    <w:rsid w:val="009862B5"/>
    <w:rsid w:val="00993EDE"/>
    <w:rsid w:val="00994A4B"/>
    <w:rsid w:val="009A0CCD"/>
    <w:rsid w:val="009A3461"/>
    <w:rsid w:val="009A6310"/>
    <w:rsid w:val="009B1667"/>
    <w:rsid w:val="009C6057"/>
    <w:rsid w:val="009C74D2"/>
    <w:rsid w:val="009D0475"/>
    <w:rsid w:val="009D0D66"/>
    <w:rsid w:val="009D3A8E"/>
    <w:rsid w:val="009D439C"/>
    <w:rsid w:val="009D5E42"/>
    <w:rsid w:val="009E28E6"/>
    <w:rsid w:val="009E452D"/>
    <w:rsid w:val="009E5A02"/>
    <w:rsid w:val="009E6602"/>
    <w:rsid w:val="009F2A3A"/>
    <w:rsid w:val="009F620F"/>
    <w:rsid w:val="00A13F51"/>
    <w:rsid w:val="00A14ED0"/>
    <w:rsid w:val="00A1733A"/>
    <w:rsid w:val="00A2114D"/>
    <w:rsid w:val="00A22151"/>
    <w:rsid w:val="00A23C9B"/>
    <w:rsid w:val="00A24912"/>
    <w:rsid w:val="00A30771"/>
    <w:rsid w:val="00A307D8"/>
    <w:rsid w:val="00A35623"/>
    <w:rsid w:val="00A35642"/>
    <w:rsid w:val="00A36B80"/>
    <w:rsid w:val="00A36FF6"/>
    <w:rsid w:val="00A37200"/>
    <w:rsid w:val="00A42110"/>
    <w:rsid w:val="00A60C0B"/>
    <w:rsid w:val="00A60DE1"/>
    <w:rsid w:val="00A619FE"/>
    <w:rsid w:val="00A632C5"/>
    <w:rsid w:val="00A64492"/>
    <w:rsid w:val="00A715A0"/>
    <w:rsid w:val="00A72662"/>
    <w:rsid w:val="00A726E5"/>
    <w:rsid w:val="00A73FF0"/>
    <w:rsid w:val="00A746AA"/>
    <w:rsid w:val="00A77800"/>
    <w:rsid w:val="00A77C1F"/>
    <w:rsid w:val="00A82E72"/>
    <w:rsid w:val="00A938E6"/>
    <w:rsid w:val="00A960BA"/>
    <w:rsid w:val="00AC01F9"/>
    <w:rsid w:val="00AD0006"/>
    <w:rsid w:val="00AD058B"/>
    <w:rsid w:val="00AD1B54"/>
    <w:rsid w:val="00AD279A"/>
    <w:rsid w:val="00AD2EB2"/>
    <w:rsid w:val="00AD403E"/>
    <w:rsid w:val="00AE41AA"/>
    <w:rsid w:val="00AE4A3D"/>
    <w:rsid w:val="00AF2BB0"/>
    <w:rsid w:val="00AF3AAB"/>
    <w:rsid w:val="00AF40D6"/>
    <w:rsid w:val="00AF694A"/>
    <w:rsid w:val="00AF6C85"/>
    <w:rsid w:val="00B00BE2"/>
    <w:rsid w:val="00B0215B"/>
    <w:rsid w:val="00B0218E"/>
    <w:rsid w:val="00B03EB8"/>
    <w:rsid w:val="00B100A6"/>
    <w:rsid w:val="00B1436A"/>
    <w:rsid w:val="00B17554"/>
    <w:rsid w:val="00B17CB2"/>
    <w:rsid w:val="00B26375"/>
    <w:rsid w:val="00B2689D"/>
    <w:rsid w:val="00B3042B"/>
    <w:rsid w:val="00B357FC"/>
    <w:rsid w:val="00B35E04"/>
    <w:rsid w:val="00B361D3"/>
    <w:rsid w:val="00B40A71"/>
    <w:rsid w:val="00B4254F"/>
    <w:rsid w:val="00B44869"/>
    <w:rsid w:val="00B46279"/>
    <w:rsid w:val="00B51F95"/>
    <w:rsid w:val="00B566B5"/>
    <w:rsid w:val="00B613A8"/>
    <w:rsid w:val="00B66D64"/>
    <w:rsid w:val="00B70D47"/>
    <w:rsid w:val="00B73567"/>
    <w:rsid w:val="00B75317"/>
    <w:rsid w:val="00B82255"/>
    <w:rsid w:val="00B82C5D"/>
    <w:rsid w:val="00B83B95"/>
    <w:rsid w:val="00B83F3E"/>
    <w:rsid w:val="00B84315"/>
    <w:rsid w:val="00B84774"/>
    <w:rsid w:val="00B87CD9"/>
    <w:rsid w:val="00B9173C"/>
    <w:rsid w:val="00B9184B"/>
    <w:rsid w:val="00B97583"/>
    <w:rsid w:val="00BA5668"/>
    <w:rsid w:val="00BA7CF2"/>
    <w:rsid w:val="00BB20D3"/>
    <w:rsid w:val="00BB5E12"/>
    <w:rsid w:val="00BC4E08"/>
    <w:rsid w:val="00BC6246"/>
    <w:rsid w:val="00BC772A"/>
    <w:rsid w:val="00BD33C5"/>
    <w:rsid w:val="00BD5B1A"/>
    <w:rsid w:val="00BD748B"/>
    <w:rsid w:val="00BE1A9E"/>
    <w:rsid w:val="00BE2160"/>
    <w:rsid w:val="00BE4865"/>
    <w:rsid w:val="00BE7EA4"/>
    <w:rsid w:val="00BF3917"/>
    <w:rsid w:val="00BF417A"/>
    <w:rsid w:val="00BF4E27"/>
    <w:rsid w:val="00C01337"/>
    <w:rsid w:val="00C01F9D"/>
    <w:rsid w:val="00C1466C"/>
    <w:rsid w:val="00C15FC6"/>
    <w:rsid w:val="00C167BA"/>
    <w:rsid w:val="00C238C9"/>
    <w:rsid w:val="00C33C25"/>
    <w:rsid w:val="00C34F1F"/>
    <w:rsid w:val="00C4057B"/>
    <w:rsid w:val="00C45B32"/>
    <w:rsid w:val="00C5152A"/>
    <w:rsid w:val="00C557A3"/>
    <w:rsid w:val="00C61BE7"/>
    <w:rsid w:val="00C64E39"/>
    <w:rsid w:val="00C71859"/>
    <w:rsid w:val="00C75992"/>
    <w:rsid w:val="00C8292F"/>
    <w:rsid w:val="00C8385B"/>
    <w:rsid w:val="00C84022"/>
    <w:rsid w:val="00C9074A"/>
    <w:rsid w:val="00CA1CE4"/>
    <w:rsid w:val="00CB0563"/>
    <w:rsid w:val="00CB6433"/>
    <w:rsid w:val="00CC26B8"/>
    <w:rsid w:val="00CD134A"/>
    <w:rsid w:val="00CD660A"/>
    <w:rsid w:val="00CD7402"/>
    <w:rsid w:val="00CE321A"/>
    <w:rsid w:val="00CF06AC"/>
    <w:rsid w:val="00CF2B49"/>
    <w:rsid w:val="00CF4ACB"/>
    <w:rsid w:val="00CF6866"/>
    <w:rsid w:val="00D03DB8"/>
    <w:rsid w:val="00D14C12"/>
    <w:rsid w:val="00D152B1"/>
    <w:rsid w:val="00D16302"/>
    <w:rsid w:val="00D16AEB"/>
    <w:rsid w:val="00D2038F"/>
    <w:rsid w:val="00D2064F"/>
    <w:rsid w:val="00D20F20"/>
    <w:rsid w:val="00D21764"/>
    <w:rsid w:val="00D23E24"/>
    <w:rsid w:val="00D25D41"/>
    <w:rsid w:val="00D268C7"/>
    <w:rsid w:val="00D27FA6"/>
    <w:rsid w:val="00D333D4"/>
    <w:rsid w:val="00D3459D"/>
    <w:rsid w:val="00D369BE"/>
    <w:rsid w:val="00D36E8F"/>
    <w:rsid w:val="00D43257"/>
    <w:rsid w:val="00D43265"/>
    <w:rsid w:val="00D43B80"/>
    <w:rsid w:val="00D45C7D"/>
    <w:rsid w:val="00D52505"/>
    <w:rsid w:val="00D60D8E"/>
    <w:rsid w:val="00D64675"/>
    <w:rsid w:val="00D71A3A"/>
    <w:rsid w:val="00D724FC"/>
    <w:rsid w:val="00D72D6D"/>
    <w:rsid w:val="00D7562A"/>
    <w:rsid w:val="00D76340"/>
    <w:rsid w:val="00D76778"/>
    <w:rsid w:val="00D83250"/>
    <w:rsid w:val="00D84281"/>
    <w:rsid w:val="00D851F9"/>
    <w:rsid w:val="00D91188"/>
    <w:rsid w:val="00D91CBD"/>
    <w:rsid w:val="00D91DCC"/>
    <w:rsid w:val="00D94432"/>
    <w:rsid w:val="00D95881"/>
    <w:rsid w:val="00D968BB"/>
    <w:rsid w:val="00D96E64"/>
    <w:rsid w:val="00DA25C9"/>
    <w:rsid w:val="00DA45C5"/>
    <w:rsid w:val="00DA4906"/>
    <w:rsid w:val="00DB0C16"/>
    <w:rsid w:val="00DB4ED3"/>
    <w:rsid w:val="00DC15A3"/>
    <w:rsid w:val="00DC3328"/>
    <w:rsid w:val="00DC5FA0"/>
    <w:rsid w:val="00DD36D9"/>
    <w:rsid w:val="00DD482E"/>
    <w:rsid w:val="00DE0148"/>
    <w:rsid w:val="00DE2072"/>
    <w:rsid w:val="00DE43BA"/>
    <w:rsid w:val="00DF12BB"/>
    <w:rsid w:val="00DF1333"/>
    <w:rsid w:val="00DF2BD5"/>
    <w:rsid w:val="00DF41D2"/>
    <w:rsid w:val="00E034CA"/>
    <w:rsid w:val="00E04B97"/>
    <w:rsid w:val="00E06EE5"/>
    <w:rsid w:val="00E137F4"/>
    <w:rsid w:val="00E16F66"/>
    <w:rsid w:val="00E23CDB"/>
    <w:rsid w:val="00E23E52"/>
    <w:rsid w:val="00E43527"/>
    <w:rsid w:val="00E43FD3"/>
    <w:rsid w:val="00E52484"/>
    <w:rsid w:val="00E52ED6"/>
    <w:rsid w:val="00E539B1"/>
    <w:rsid w:val="00E55792"/>
    <w:rsid w:val="00E60F8A"/>
    <w:rsid w:val="00E61F47"/>
    <w:rsid w:val="00E63420"/>
    <w:rsid w:val="00E67EAE"/>
    <w:rsid w:val="00E717A6"/>
    <w:rsid w:val="00E74060"/>
    <w:rsid w:val="00E82240"/>
    <w:rsid w:val="00E8229B"/>
    <w:rsid w:val="00E920B5"/>
    <w:rsid w:val="00E923B8"/>
    <w:rsid w:val="00E92E44"/>
    <w:rsid w:val="00E946B6"/>
    <w:rsid w:val="00EA3C51"/>
    <w:rsid w:val="00EA5427"/>
    <w:rsid w:val="00EA6D1A"/>
    <w:rsid w:val="00EA739F"/>
    <w:rsid w:val="00EB6FB8"/>
    <w:rsid w:val="00EB7E2D"/>
    <w:rsid w:val="00EC2F7D"/>
    <w:rsid w:val="00ED7B31"/>
    <w:rsid w:val="00EF0503"/>
    <w:rsid w:val="00EF17BD"/>
    <w:rsid w:val="00EF49A5"/>
    <w:rsid w:val="00F044AB"/>
    <w:rsid w:val="00F06141"/>
    <w:rsid w:val="00F06450"/>
    <w:rsid w:val="00F110B3"/>
    <w:rsid w:val="00F20915"/>
    <w:rsid w:val="00F21864"/>
    <w:rsid w:val="00F21D0E"/>
    <w:rsid w:val="00F22960"/>
    <w:rsid w:val="00F22BAC"/>
    <w:rsid w:val="00F26504"/>
    <w:rsid w:val="00F322D5"/>
    <w:rsid w:val="00F33542"/>
    <w:rsid w:val="00F34725"/>
    <w:rsid w:val="00F41CE1"/>
    <w:rsid w:val="00F428EA"/>
    <w:rsid w:val="00F51890"/>
    <w:rsid w:val="00F56D02"/>
    <w:rsid w:val="00F62EA1"/>
    <w:rsid w:val="00F67E59"/>
    <w:rsid w:val="00F7651B"/>
    <w:rsid w:val="00F76A58"/>
    <w:rsid w:val="00F83D51"/>
    <w:rsid w:val="00F84E1D"/>
    <w:rsid w:val="00F85AC0"/>
    <w:rsid w:val="00F91BDF"/>
    <w:rsid w:val="00F93F7B"/>
    <w:rsid w:val="00F972BD"/>
    <w:rsid w:val="00F97455"/>
    <w:rsid w:val="00FA3E66"/>
    <w:rsid w:val="00FA47ED"/>
    <w:rsid w:val="00FA615F"/>
    <w:rsid w:val="00FA6A6C"/>
    <w:rsid w:val="00FB41E4"/>
    <w:rsid w:val="00FB6204"/>
    <w:rsid w:val="00FC00F1"/>
    <w:rsid w:val="00FC1E4B"/>
    <w:rsid w:val="00FC5B5F"/>
    <w:rsid w:val="00FC61E4"/>
    <w:rsid w:val="00FC7702"/>
    <w:rsid w:val="00FE0E8D"/>
    <w:rsid w:val="00FE20B4"/>
    <w:rsid w:val="00FE2732"/>
    <w:rsid w:val="00FE39B8"/>
    <w:rsid w:val="00FE5DCC"/>
    <w:rsid w:val="00FE5EB6"/>
    <w:rsid w:val="00FF2A91"/>
    <w:rsid w:val="00FF4834"/>
    <w:rsid w:val="00FF4CF1"/>
    <w:rsid w:val="00FF5477"/>
    <w:rsid w:val="00FF71CD"/>
    <w:rsid w:val="00FF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3D33B"/>
  <w15:docId w15:val="{462A287D-3763-49E2-97CB-0C9D5B07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04C"/>
    <w:pPr>
      <w:spacing w:before="120" w:after="120"/>
      <w:ind w:firstLine="709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4"/>
    <w:uiPriority w:val="9"/>
    <w:qFormat/>
    <w:rsid w:val="005C7DBB"/>
    <w:pPr>
      <w:numPr>
        <w:numId w:val="3"/>
      </w:numPr>
      <w:spacing w:before="240" w:after="240"/>
      <w:outlineLvl w:val="0"/>
    </w:pPr>
    <w:rPr>
      <w:b/>
      <w:bCs/>
      <w:kern w:val="36"/>
      <w:sz w:val="28"/>
      <w:szCs w:val="4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AF6C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9336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B87C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70">
    <w:name w:val="heading 7"/>
    <w:basedOn w:val="a"/>
    <w:next w:val="a"/>
    <w:link w:val="71"/>
    <w:uiPriority w:val="9"/>
    <w:semiHidden/>
    <w:unhideWhenUsed/>
    <w:qFormat/>
    <w:rsid w:val="00136C9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Нумерованый список,Абзац под ж вопрос,Paragraphe de liste1,lp1,ТЗ список,Абзац списка литеральный,Use Case List Paragraph,Абзац маркированнный"/>
    <w:basedOn w:val="a"/>
    <w:link w:val="a4"/>
    <w:uiPriority w:val="34"/>
    <w:qFormat/>
    <w:rsid w:val="005C7DB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14">
    <w:name w:val="Заголовок 1 Знак"/>
    <w:basedOn w:val="a0"/>
    <w:link w:val="1"/>
    <w:uiPriority w:val="9"/>
    <w:rsid w:val="005C7DBB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styleId="a5">
    <w:name w:val="annotation reference"/>
    <w:basedOn w:val="a0"/>
    <w:uiPriority w:val="99"/>
    <w:semiHidden/>
    <w:unhideWhenUsed/>
    <w:rsid w:val="006A1FE7"/>
    <w:rPr>
      <w:sz w:val="16"/>
      <w:szCs w:val="16"/>
    </w:rPr>
  </w:style>
  <w:style w:type="paragraph" w:styleId="a6">
    <w:name w:val="annotation text"/>
    <w:aliases w:val="ct,Used by Word for text of author queries, Знак2"/>
    <w:basedOn w:val="a"/>
    <w:link w:val="a7"/>
    <w:uiPriority w:val="99"/>
    <w:unhideWhenUsed/>
    <w:rsid w:val="006A1FE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примечания Знак"/>
    <w:aliases w:val="ct Знак,Used by Word for text of author queries Знак, Знак2 Знак"/>
    <w:basedOn w:val="a0"/>
    <w:link w:val="a6"/>
    <w:uiPriority w:val="99"/>
    <w:rsid w:val="006A1FE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A1FE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A1FE7"/>
    <w:rPr>
      <w:b/>
      <w:bCs/>
      <w:sz w:val="20"/>
      <w:szCs w:val="20"/>
    </w:rPr>
  </w:style>
  <w:style w:type="paragraph" w:styleId="aa">
    <w:name w:val="Normal (Web)"/>
    <w:basedOn w:val="a"/>
    <w:uiPriority w:val="99"/>
    <w:unhideWhenUsed/>
    <w:rsid w:val="004F69ED"/>
    <w:pPr>
      <w:spacing w:before="100" w:beforeAutospacing="1" w:after="100" w:afterAutospacing="1"/>
    </w:pPr>
  </w:style>
  <w:style w:type="paragraph" w:styleId="ab">
    <w:name w:val="Revision"/>
    <w:hidden/>
    <w:uiPriority w:val="99"/>
    <w:semiHidden/>
    <w:rsid w:val="004A1FE2"/>
    <w:rPr>
      <w:rFonts w:ascii="Times New Roman" w:eastAsia="Times New Roman" w:hAnsi="Times New Roman" w:cs="Times New Roman"/>
      <w:lang w:eastAsia="ru-RU"/>
    </w:rPr>
  </w:style>
  <w:style w:type="character" w:styleId="ac">
    <w:name w:val="Hyperlink"/>
    <w:basedOn w:val="a0"/>
    <w:uiPriority w:val="99"/>
    <w:unhideWhenUsed/>
    <w:rsid w:val="00FF786E"/>
    <w:rPr>
      <w:color w:val="0000FF"/>
      <w:u w:val="single"/>
    </w:rPr>
  </w:style>
  <w:style w:type="table" w:styleId="ad">
    <w:name w:val="Table Grid"/>
    <w:aliases w:val="Сетка таблицы GR,Стиль таблицы,OTR,Main,Заголовок таблицы 1,Моя таблица,НОВЫЙ СТИЛЬ ДЛЯ ТАБЛИЦЫ,(Insert),CV table,Сф_Табл,Таблица ИТ Эксперт,Gridding"/>
    <w:basedOn w:val="a1"/>
    <w:uiPriority w:val="39"/>
    <w:qFormat/>
    <w:rsid w:val="00E71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Текущий список1"/>
    <w:uiPriority w:val="99"/>
    <w:rsid w:val="00621F33"/>
    <w:pPr>
      <w:numPr>
        <w:numId w:val="4"/>
      </w:numPr>
    </w:pPr>
  </w:style>
  <w:style w:type="paragraph" w:styleId="ae">
    <w:name w:val="Body Text"/>
    <w:basedOn w:val="a"/>
    <w:link w:val="af"/>
    <w:rsid w:val="00621F33"/>
    <w:pPr>
      <w:ind w:right="284" w:firstLine="0"/>
    </w:pPr>
    <w:rPr>
      <w:rFonts w:ascii="Arial" w:hAnsi="Arial" w:cs="Arial"/>
      <w:bCs/>
      <w:iCs/>
    </w:rPr>
  </w:style>
  <w:style w:type="character" w:customStyle="1" w:styleId="af">
    <w:name w:val="Основной текст Знак"/>
    <w:basedOn w:val="a0"/>
    <w:link w:val="ae"/>
    <w:rsid w:val="00621F33"/>
    <w:rPr>
      <w:rFonts w:ascii="Arial" w:eastAsia="Times New Roman" w:hAnsi="Arial" w:cs="Arial"/>
      <w:bCs/>
      <w:iCs/>
      <w:lang w:eastAsia="ru-RU"/>
    </w:rPr>
  </w:style>
  <w:style w:type="numbering" w:customStyle="1" w:styleId="2">
    <w:name w:val="Текущий список2"/>
    <w:uiPriority w:val="99"/>
    <w:rsid w:val="00350E0E"/>
    <w:pPr>
      <w:numPr>
        <w:numId w:val="8"/>
      </w:numPr>
    </w:pPr>
  </w:style>
  <w:style w:type="numbering" w:customStyle="1" w:styleId="3">
    <w:name w:val="Текущий список3"/>
    <w:uiPriority w:val="99"/>
    <w:rsid w:val="00350E0E"/>
    <w:pPr>
      <w:numPr>
        <w:numId w:val="9"/>
      </w:numPr>
    </w:pPr>
  </w:style>
  <w:style w:type="numbering" w:customStyle="1" w:styleId="4">
    <w:name w:val="Текущий список4"/>
    <w:uiPriority w:val="99"/>
    <w:rsid w:val="005E415C"/>
    <w:pPr>
      <w:numPr>
        <w:numId w:val="10"/>
      </w:numPr>
    </w:pPr>
  </w:style>
  <w:style w:type="numbering" w:customStyle="1" w:styleId="5">
    <w:name w:val="Текущий список5"/>
    <w:uiPriority w:val="99"/>
    <w:rsid w:val="005E415C"/>
    <w:pPr>
      <w:numPr>
        <w:numId w:val="11"/>
      </w:numPr>
    </w:pPr>
  </w:style>
  <w:style w:type="paragraph" w:styleId="af0">
    <w:name w:val="TOC Heading"/>
    <w:basedOn w:val="1"/>
    <w:next w:val="a"/>
    <w:uiPriority w:val="39"/>
    <w:unhideWhenUsed/>
    <w:qFormat/>
    <w:rsid w:val="005A450D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9D0475"/>
    <w:pPr>
      <w:tabs>
        <w:tab w:val="left" w:pos="567"/>
        <w:tab w:val="right" w:leader="dot" w:pos="9345"/>
      </w:tabs>
      <w:spacing w:after="0"/>
      <w:ind w:firstLine="0"/>
      <w:jc w:val="left"/>
    </w:pPr>
    <w:rPr>
      <w:rFonts w:asciiTheme="minorHAnsi" w:hAnsiTheme="minorHAnsi" w:cstheme="minorHAnsi"/>
      <w:b/>
      <w:bCs/>
      <w:i/>
      <w:iCs/>
    </w:rPr>
  </w:style>
  <w:style w:type="paragraph" w:styleId="22">
    <w:name w:val="toc 2"/>
    <w:basedOn w:val="a"/>
    <w:next w:val="a"/>
    <w:autoRedefine/>
    <w:uiPriority w:val="39"/>
    <w:unhideWhenUsed/>
    <w:rsid w:val="00575015"/>
    <w:pPr>
      <w:tabs>
        <w:tab w:val="left" w:pos="851"/>
        <w:tab w:val="right" w:leader="dot" w:pos="9345"/>
      </w:tabs>
      <w:spacing w:after="0"/>
      <w:ind w:left="238" w:firstLine="46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2">
    <w:name w:val="toc 3"/>
    <w:basedOn w:val="a"/>
    <w:next w:val="a"/>
    <w:autoRedefine/>
    <w:uiPriority w:val="39"/>
    <w:unhideWhenUsed/>
    <w:rsid w:val="005A450D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semiHidden/>
    <w:unhideWhenUsed/>
    <w:rsid w:val="005A450D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5A450D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5A450D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72">
    <w:name w:val="toc 7"/>
    <w:basedOn w:val="a"/>
    <w:next w:val="a"/>
    <w:autoRedefine/>
    <w:uiPriority w:val="39"/>
    <w:semiHidden/>
    <w:unhideWhenUsed/>
    <w:rsid w:val="005A450D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semiHidden/>
    <w:unhideWhenUsed/>
    <w:rsid w:val="005A450D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0">
    <w:name w:val="toc 9"/>
    <w:basedOn w:val="a"/>
    <w:next w:val="a"/>
    <w:autoRedefine/>
    <w:uiPriority w:val="39"/>
    <w:semiHidden/>
    <w:unhideWhenUsed/>
    <w:rsid w:val="005A450D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numbering" w:customStyle="1" w:styleId="6">
    <w:name w:val="Текущий список6"/>
    <w:uiPriority w:val="99"/>
    <w:rsid w:val="001843DD"/>
    <w:pPr>
      <w:numPr>
        <w:numId w:val="12"/>
      </w:numPr>
    </w:pPr>
  </w:style>
  <w:style w:type="numbering" w:customStyle="1" w:styleId="7">
    <w:name w:val="Текущий список7"/>
    <w:uiPriority w:val="99"/>
    <w:rsid w:val="001843DD"/>
    <w:pPr>
      <w:numPr>
        <w:numId w:val="13"/>
      </w:numPr>
    </w:pPr>
  </w:style>
  <w:style w:type="numbering" w:customStyle="1" w:styleId="8">
    <w:name w:val="Текущий список8"/>
    <w:uiPriority w:val="99"/>
    <w:rsid w:val="001843DD"/>
    <w:pPr>
      <w:numPr>
        <w:numId w:val="14"/>
      </w:numPr>
    </w:pPr>
  </w:style>
  <w:style w:type="numbering" w:customStyle="1" w:styleId="9">
    <w:name w:val="Текущий список9"/>
    <w:uiPriority w:val="99"/>
    <w:rsid w:val="001843DD"/>
    <w:pPr>
      <w:numPr>
        <w:numId w:val="15"/>
      </w:numPr>
    </w:pPr>
  </w:style>
  <w:style w:type="numbering" w:customStyle="1" w:styleId="10">
    <w:name w:val="Текущий список10"/>
    <w:uiPriority w:val="99"/>
    <w:rsid w:val="001843DD"/>
    <w:pPr>
      <w:numPr>
        <w:numId w:val="16"/>
      </w:numPr>
    </w:pPr>
  </w:style>
  <w:style w:type="numbering" w:customStyle="1" w:styleId="110">
    <w:name w:val="Текущий список11"/>
    <w:uiPriority w:val="99"/>
    <w:rsid w:val="008D60FD"/>
    <w:pPr>
      <w:numPr>
        <w:numId w:val="22"/>
      </w:numPr>
    </w:pPr>
  </w:style>
  <w:style w:type="numbering" w:customStyle="1" w:styleId="12">
    <w:name w:val="Текущий список12"/>
    <w:uiPriority w:val="99"/>
    <w:rsid w:val="008D60FD"/>
    <w:pPr>
      <w:numPr>
        <w:numId w:val="23"/>
      </w:numPr>
    </w:pPr>
  </w:style>
  <w:style w:type="numbering" w:customStyle="1" w:styleId="13">
    <w:name w:val="Текущий список13"/>
    <w:uiPriority w:val="99"/>
    <w:rsid w:val="008D60FD"/>
    <w:pPr>
      <w:numPr>
        <w:numId w:val="24"/>
      </w:numPr>
    </w:pPr>
  </w:style>
  <w:style w:type="paragraph" w:customStyle="1" w:styleId="Default">
    <w:name w:val="Default"/>
    <w:rsid w:val="00657F1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4">
    <w:name w:val="Абзац списка Знак"/>
    <w:aliases w:val="Bullet List Знак,FooterText Знак,numbered Знак,Нумерованый список Знак,Абзац под ж вопрос Знак,Paragraphe de liste1 Знак,lp1 Знак,ТЗ список Знак,Абзац списка литеральный Знак,Use Case List Paragraph Знак,Абзац маркированнный Знак"/>
    <w:basedOn w:val="a0"/>
    <w:link w:val="a3"/>
    <w:uiPriority w:val="34"/>
    <w:rsid w:val="00286D2E"/>
  </w:style>
  <w:style w:type="character" w:customStyle="1" w:styleId="21">
    <w:name w:val="Заголовок 2 Знак"/>
    <w:basedOn w:val="a0"/>
    <w:link w:val="20"/>
    <w:uiPriority w:val="9"/>
    <w:semiHidden/>
    <w:rsid w:val="00AF6C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7F727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F7272"/>
    <w:rPr>
      <w:rFonts w:ascii="Segoe UI" w:eastAsia="Times New Roman" w:hAnsi="Segoe UI" w:cs="Segoe UI"/>
      <w:sz w:val="18"/>
      <w:szCs w:val="18"/>
      <w:lang w:eastAsia="ru-RU"/>
    </w:rPr>
  </w:style>
  <w:style w:type="character" w:styleId="af3">
    <w:name w:val="Emphasis"/>
    <w:basedOn w:val="a0"/>
    <w:uiPriority w:val="20"/>
    <w:qFormat/>
    <w:rsid w:val="00824698"/>
    <w:rPr>
      <w:i/>
      <w:iCs/>
    </w:rPr>
  </w:style>
  <w:style w:type="character" w:customStyle="1" w:styleId="41">
    <w:name w:val="Заголовок 4 Знак"/>
    <w:basedOn w:val="a0"/>
    <w:link w:val="40"/>
    <w:uiPriority w:val="9"/>
    <w:semiHidden/>
    <w:rsid w:val="00B87CD9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9336E3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customStyle="1" w:styleId="159">
    <w:name w:val="Стиль По ширине Первая строка:  1.59 см"/>
    <w:basedOn w:val="a"/>
    <w:link w:val="1590"/>
    <w:rsid w:val="004A0BDC"/>
    <w:pPr>
      <w:spacing w:before="0" w:line="360" w:lineRule="auto"/>
      <w:ind w:firstLine="902"/>
    </w:pPr>
    <w:rPr>
      <w:lang w:val="en-US"/>
    </w:rPr>
  </w:style>
  <w:style w:type="character" w:customStyle="1" w:styleId="1590">
    <w:name w:val="Стиль По ширине Первая строка:  1.59 см Знак"/>
    <w:link w:val="159"/>
    <w:locked/>
    <w:rsid w:val="004A0BDC"/>
    <w:rPr>
      <w:rFonts w:ascii="Times New Roman" w:eastAsia="Times New Roman" w:hAnsi="Times New Roman" w:cs="Times New Roman"/>
      <w:lang w:val="en-US" w:eastAsia="ru-RU"/>
    </w:rPr>
  </w:style>
  <w:style w:type="paragraph" w:styleId="af4">
    <w:name w:val="header"/>
    <w:basedOn w:val="a"/>
    <w:link w:val="af5"/>
    <w:uiPriority w:val="99"/>
    <w:unhideWhenUsed/>
    <w:rsid w:val="0056669B"/>
    <w:pPr>
      <w:tabs>
        <w:tab w:val="center" w:pos="4677"/>
        <w:tab w:val="right" w:pos="9355"/>
      </w:tabs>
      <w:spacing w:before="0" w:after="0"/>
    </w:pPr>
  </w:style>
  <w:style w:type="character" w:customStyle="1" w:styleId="af5">
    <w:name w:val="Верхний колонтитул Знак"/>
    <w:basedOn w:val="a0"/>
    <w:link w:val="af4"/>
    <w:uiPriority w:val="99"/>
    <w:rsid w:val="0056669B"/>
    <w:rPr>
      <w:rFonts w:ascii="Times New Roman" w:eastAsia="Times New Roman" w:hAnsi="Times New Roman" w:cs="Times New Roman"/>
      <w:lang w:eastAsia="ru-RU"/>
    </w:rPr>
  </w:style>
  <w:style w:type="paragraph" w:styleId="af6">
    <w:name w:val="footer"/>
    <w:basedOn w:val="a"/>
    <w:link w:val="af7"/>
    <w:uiPriority w:val="99"/>
    <w:unhideWhenUsed/>
    <w:rsid w:val="0056669B"/>
    <w:pPr>
      <w:tabs>
        <w:tab w:val="center" w:pos="4677"/>
        <w:tab w:val="right" w:pos="9355"/>
      </w:tabs>
      <w:spacing w:before="0" w:after="0"/>
    </w:pPr>
  </w:style>
  <w:style w:type="character" w:customStyle="1" w:styleId="af7">
    <w:name w:val="Нижний колонтитул Знак"/>
    <w:basedOn w:val="a0"/>
    <w:link w:val="af6"/>
    <w:uiPriority w:val="99"/>
    <w:rsid w:val="0056669B"/>
    <w:rPr>
      <w:rFonts w:ascii="Times New Roman" w:eastAsia="Times New Roman" w:hAnsi="Times New Roman" w:cs="Times New Roman"/>
      <w:lang w:eastAsia="ru-RU"/>
    </w:rPr>
  </w:style>
  <w:style w:type="paragraph" w:styleId="af8">
    <w:name w:val="endnote text"/>
    <w:basedOn w:val="a"/>
    <w:link w:val="af9"/>
    <w:uiPriority w:val="99"/>
    <w:semiHidden/>
    <w:unhideWhenUsed/>
    <w:rsid w:val="00196ED0"/>
    <w:pPr>
      <w:spacing w:before="0" w:after="0"/>
      <w:ind w:firstLine="0"/>
      <w:jc w:val="left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96E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0"/>
    <w:uiPriority w:val="99"/>
    <w:semiHidden/>
    <w:unhideWhenUsed/>
    <w:rsid w:val="00196ED0"/>
    <w:rPr>
      <w:vertAlign w:val="superscript"/>
    </w:rPr>
  </w:style>
  <w:style w:type="paragraph" w:styleId="afb">
    <w:name w:val="footnote text"/>
    <w:basedOn w:val="a"/>
    <w:link w:val="afc"/>
    <w:uiPriority w:val="99"/>
    <w:semiHidden/>
    <w:unhideWhenUsed/>
    <w:rsid w:val="00196ED0"/>
    <w:pPr>
      <w:spacing w:before="0" w:after="0"/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196E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196ED0"/>
    <w:rPr>
      <w:vertAlign w:val="superscript"/>
    </w:rPr>
  </w:style>
  <w:style w:type="paragraph" w:styleId="afe">
    <w:name w:val="caption"/>
    <w:basedOn w:val="a"/>
    <w:next w:val="a"/>
    <w:uiPriority w:val="35"/>
    <w:unhideWhenUsed/>
    <w:qFormat/>
    <w:rsid w:val="00196ED0"/>
    <w:pPr>
      <w:spacing w:before="0" w:after="200"/>
      <w:ind w:firstLine="0"/>
      <w:jc w:val="left"/>
    </w:pPr>
    <w:rPr>
      <w:i/>
      <w:iCs/>
      <w:color w:val="44546A" w:themeColor="text2"/>
      <w:sz w:val="18"/>
      <w:szCs w:val="18"/>
    </w:rPr>
  </w:style>
  <w:style w:type="character" w:customStyle="1" w:styleId="71">
    <w:name w:val="Заголовок 7 Знак"/>
    <w:basedOn w:val="a0"/>
    <w:link w:val="70"/>
    <w:uiPriority w:val="9"/>
    <w:semiHidden/>
    <w:rsid w:val="00136C97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paragraph" w:styleId="aff">
    <w:name w:val="No Spacing"/>
    <w:link w:val="aff0"/>
    <w:uiPriority w:val="1"/>
    <w:qFormat/>
    <w:rsid w:val="00136C97"/>
    <w:pPr>
      <w:ind w:firstLine="709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ff0">
    <w:name w:val="Без интервала Знак"/>
    <w:basedOn w:val="a0"/>
    <w:link w:val="aff"/>
    <w:uiPriority w:val="1"/>
    <w:rsid w:val="00136C97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package" Target="embeddings/_________Microsoft_Visio1.vsdx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7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package" Target="embeddings/_________Microsoft_Visio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package" Target="embeddings/_________Microsoft_Visio.vsdx"/><Relationship Id="rId40" Type="http://schemas.openxmlformats.org/officeDocument/2006/relationships/image" Target="media/image28.emf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cid:image001.png@01D572F3.99BC46D0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e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0A95A1-DD11-4F1D-AED0-0A2C7077A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3265</Words>
  <Characters>18614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Корнийчук</dc:creator>
  <cp:keywords/>
  <dc:description/>
  <cp:lastModifiedBy>Харитонов Денис Леонидович</cp:lastModifiedBy>
  <cp:revision>5</cp:revision>
  <dcterms:created xsi:type="dcterms:W3CDTF">2024-11-18T11:35:00Z</dcterms:created>
  <dcterms:modified xsi:type="dcterms:W3CDTF">2026-03-10T12:32:00Z</dcterms:modified>
</cp:coreProperties>
</file>