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header3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9"/>
        <w:shd w:val="clear" w:color="auto" w:fill="auto"/>
        <w:spacing w:lineRule="auto" w:line="276"/>
        <w:ind w:left="9020" w:hanging="4767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 xml:space="preserve">Технические требования </w:t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ОКПД2 [45.20.1] Оказание услуг по техническому обслуживанию и ремонту легких грузовых и коммерческих автомобилей для нужд Дагестанского филиала АО «Гидроремонт-ВКК» в </w:t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>г. Махачкала</w:t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Лот № </w:t>
      </w:r>
      <w:r>
        <w:rPr>
          <w:rFonts w:eastAsia="Calibri"/>
          <w:b w:val="false"/>
          <w:i w:val="false"/>
          <w:caps w:val="false"/>
          <w:smallCaps w:val="false"/>
          <w:color w:val="2C2D2E"/>
          <w:spacing w:val="0"/>
          <w:sz w:val="24"/>
          <w:szCs w:val="24"/>
        </w:rPr>
        <w:t>______________________________</w:t>
      </w:r>
    </w:p>
    <w:p>
      <w:pPr>
        <w:pStyle w:val="Normal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3"/>
        </w:numPr>
        <w:ind w:left="567" w:hanging="360"/>
        <w:jc w:val="center"/>
        <w:rPr>
          <w:sz w:val="24"/>
          <w:szCs w:val="24"/>
        </w:rPr>
      </w:pPr>
      <w:bookmarkStart w:id="0" w:name="_Toc54643694"/>
      <w:r>
        <w:rPr>
          <w:b/>
          <w:sz w:val="24"/>
          <w:szCs w:val="24"/>
        </w:rPr>
        <w:t>Общие сведения</w:t>
      </w:r>
      <w:bookmarkEnd w:id="0"/>
    </w:p>
    <w:p>
      <w:pPr>
        <w:pStyle w:val="Heading4"/>
        <w:numPr>
          <w:ilvl w:val="1"/>
          <w:numId w:val="3"/>
        </w:numPr>
        <w:ind w:left="567" w:hanging="432"/>
        <w:rPr>
          <w:sz w:val="24"/>
          <w:szCs w:val="24"/>
        </w:rPr>
      </w:pPr>
      <w:bookmarkStart w:id="1" w:name="_Toc46743506"/>
      <w:bookmarkStart w:id="2" w:name="_Toc54643696"/>
      <w:r>
        <w:rPr>
          <w:b/>
          <w:sz w:val="24"/>
          <w:szCs w:val="24"/>
        </w:rPr>
        <w:t>Наименование закупаемой продукции</w:t>
      </w:r>
      <w:bookmarkEnd w:id="1"/>
      <w:bookmarkEnd w:id="2"/>
      <w:r>
        <w:rPr>
          <w:b/>
          <w:sz w:val="24"/>
          <w:szCs w:val="24"/>
          <w:lang w:val="ru-RU"/>
        </w:rPr>
        <w:t>:</w:t>
      </w:r>
      <w:r>
        <w:rPr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>ОКПД2 [45.20.1]  Оказание услуг по техническому обслуживанию и ремонту легких грузовых и коммерческих автомобилей для нужд Дагестанского филиала АО «Гидроремонт-ВКК» в г. Махачкала</w:t>
      </w:r>
      <w:r>
        <w:rPr>
          <w:sz w:val="24"/>
          <w:szCs w:val="24"/>
          <w:lang w:val="ru-RU"/>
        </w:rPr>
        <w:t>.</w:t>
      </w:r>
    </w:p>
    <w:p>
      <w:pPr>
        <w:pStyle w:val="Heading4"/>
        <w:numPr>
          <w:ilvl w:val="1"/>
          <w:numId w:val="3"/>
        </w:numPr>
        <w:tabs>
          <w:tab w:val="left" w:pos="0" w:leader="none"/>
          <w:tab w:val="left" w:pos="284" w:leader="none"/>
          <w:tab w:val="left" w:pos="851" w:leader="none"/>
        </w:tabs>
        <w:ind w:left="567" w:hanging="425"/>
        <w:rPr>
          <w:sz w:val="24"/>
          <w:szCs w:val="24"/>
        </w:rPr>
      </w:pPr>
      <w:bookmarkStart w:id="3" w:name="_Toc54643697"/>
      <w:bookmarkStart w:id="4" w:name="_Toc46743507"/>
      <w:r>
        <w:rPr>
          <w:b/>
          <w:bCs w:val="false"/>
          <w:sz w:val="24"/>
          <w:szCs w:val="24"/>
        </w:rPr>
        <w:t xml:space="preserve">Цель </w:t>
      </w:r>
      <w:bookmarkEnd w:id="4"/>
      <w:r>
        <w:rPr>
          <w:b/>
          <w:bCs w:val="false"/>
          <w:sz w:val="24"/>
          <w:szCs w:val="24"/>
        </w:rPr>
        <w:t>оказания услуг:</w:t>
      </w:r>
      <w:r>
        <w:rPr>
          <w:bCs w:val="false"/>
          <w:sz w:val="24"/>
          <w:szCs w:val="24"/>
        </w:rPr>
        <w:t xml:space="preserve"> </w:t>
      </w:r>
      <w:bookmarkEnd w:id="3"/>
      <w:r>
        <w:rPr>
          <w:rFonts w:cs="Times New Roman"/>
          <w:bCs w:val="false"/>
          <w:sz w:val="24"/>
          <w:szCs w:val="24"/>
          <w:lang w:val="en-US"/>
        </w:rPr>
        <w:t>c</w:t>
      </w:r>
      <w:r>
        <w:rPr>
          <w:rFonts w:cs="Times New Roman"/>
          <w:bCs w:val="false"/>
          <w:sz w:val="24"/>
          <w:szCs w:val="24"/>
        </w:rPr>
        <w:t>одержание в технически исправном состоянии транспорта Дагестанского филиала АО «Гидроремонт-ВКК» в г. Махачкала.</w:t>
      </w:r>
    </w:p>
    <w:p>
      <w:pPr>
        <w:pStyle w:val="Heading1"/>
        <w:tabs>
          <w:tab w:val="clear" w:pos="0"/>
          <w:tab w:val="left" w:pos="851" w:leader="none"/>
        </w:tabs>
        <w:ind w:left="0" w:hanging="0"/>
        <w:rPr>
          <w:b/>
          <w:sz w:val="22"/>
          <w:szCs w:val="22"/>
        </w:rPr>
      </w:pPr>
      <w:bookmarkStart w:id="5" w:name="_Toc54643699"/>
      <w:r>
        <w:rPr>
          <w:b/>
          <w:sz w:val="22"/>
          <w:szCs w:val="22"/>
        </w:rPr>
        <w:t>Таблица 1. Перечень ТС заказчика</w:t>
      </w:r>
      <w:bookmarkEnd w:id="5"/>
    </w:p>
    <w:tbl>
      <w:tblPr>
        <w:tblW w:w="1006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381"/>
        <w:gridCol w:w="1959"/>
        <w:gridCol w:w="2070"/>
        <w:gridCol w:w="2653"/>
        <w:gridCol w:w="3002"/>
      </w:tblGrid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автомобиля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-567" w:right="-426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Гос. рег. знак</w:t>
            </w:r>
          </w:p>
          <w:p>
            <w:pPr>
              <w:pStyle w:val="Normal"/>
              <w:widowControl w:val="false"/>
              <w:ind w:left="-567" w:right="-426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(транзит)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-567" w:right="-426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VIN</w:t>
            </w:r>
            <w:r>
              <w:rPr>
                <w:rFonts w:eastAsia="Times New Roman" w:cs="Times New Roman"/>
                <w:sz w:val="24"/>
                <w:szCs w:val="24"/>
              </w:rPr>
              <w:t>-номер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Примечания</w:t>
            </w:r>
          </w:p>
        </w:tc>
      </w:tr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ГАЗ-330232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cs="Times New Roman"/>
                <w:color w:val="000000"/>
                <w:sz w:val="24"/>
                <w:szCs w:val="24"/>
              </w:rPr>
              <w:t>О537ХВ 05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X96330232C0771188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Луидор 3009D6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cs="Times New Roman"/>
                <w:color w:val="000000"/>
                <w:sz w:val="24"/>
                <w:szCs w:val="24"/>
              </w:rPr>
              <w:t>О213ХВ 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Z783009D6B0002763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 A65R52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Р493НЕ05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X96A65R52M0929197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УАЗ 220695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М705СК 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XTT220695C0476936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ГАЗ 322173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О178ХС 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X96322173L0888912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ГАЗ 2824DK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О145ХС 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XU42824DKL0001626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ГАЗ 2824DK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О193ХС 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XU42824DKL0001627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278813 (ГАЗ 33023)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Х254ВО 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X8B278813B0007580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УАЗ 390945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Х421ВМ 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XTT390945L1204647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Газель Бизнес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С299АР 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Х96330232S2966939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Газель Бизнес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С997АР 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Х96330232S2966909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  <w:tr>
        <w:trPr>
          <w:trHeight w:val="881" w:hRule="atLeast"/>
        </w:trPr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УАЗ 220695-4</w:t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С607АР 05</w:t>
            </w:r>
          </w:p>
        </w:tc>
        <w:tc>
          <w:tcPr>
            <w:tcW w:w="26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XTT220695S1205803</w:t>
            </w:r>
          </w:p>
        </w:tc>
        <w:tc>
          <w:tcPr>
            <w:tcW w:w="3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имеет право заменить автомобиль, указанный в настоящем списке, на другой автомобиль той же марки</w:t>
            </w:r>
          </w:p>
        </w:tc>
      </w:tr>
    </w:tbl>
    <w:p>
      <w:pPr>
        <w:pStyle w:val="Heading4"/>
        <w:numPr>
          <w:ilvl w:val="1"/>
          <w:numId w:val="3"/>
        </w:numPr>
        <w:ind w:left="567" w:hanging="432"/>
        <w:rPr>
          <w:sz w:val="24"/>
          <w:szCs w:val="24"/>
        </w:rPr>
      </w:pPr>
      <w:bookmarkStart w:id="6" w:name="_Toc46743509"/>
      <w:bookmarkStart w:id="7" w:name="_Toc54643700"/>
      <w:bookmarkStart w:id="8" w:name="_Hlk49857604"/>
      <w:r>
        <w:rPr>
          <w:b/>
          <w:sz w:val="24"/>
          <w:szCs w:val="24"/>
        </w:rPr>
        <w:t xml:space="preserve">Информация в отношении исполнения договора (в том числе перечень ресурсов, услуг и документов, предоставляемых </w:t>
      </w:r>
      <w:r>
        <w:rPr>
          <w:b/>
          <w:sz w:val="24"/>
          <w:szCs w:val="24"/>
          <w:lang w:val="ru-RU"/>
        </w:rPr>
        <w:t>заказчиком</w:t>
      </w:r>
      <w:r>
        <w:rPr>
          <w:b/>
          <w:sz w:val="24"/>
          <w:szCs w:val="24"/>
        </w:rPr>
        <w:t xml:space="preserve"> на этапе исполнения договора</w:t>
      </w:r>
      <w:r>
        <w:rPr>
          <w:sz w:val="24"/>
          <w:szCs w:val="24"/>
        </w:rPr>
        <w:t>)</w:t>
      </w:r>
      <w:bookmarkStart w:id="9" w:name="_Hlk48209761"/>
      <w:bookmarkEnd w:id="6"/>
      <w:bookmarkEnd w:id="7"/>
      <w:bookmarkEnd w:id="8"/>
      <w:r>
        <w:rPr>
          <w:sz w:val="24"/>
          <w:szCs w:val="24"/>
          <w:lang w:val="ru-RU"/>
        </w:rPr>
        <w:t xml:space="preserve">: </w:t>
      </w:r>
    </w:p>
    <w:p>
      <w:pPr>
        <w:pStyle w:val="ListParagraph"/>
        <w:numPr>
          <w:ilvl w:val="2"/>
          <w:numId w:val="3"/>
        </w:numPr>
        <w:ind w:left="0" w:hanging="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  <w:lang w:val="x-none" w:eastAsia="x-none"/>
        </w:rPr>
        <w:t>Наличие у Исполнителя квалифицированного и аттестованного персонала (мастер-приемщик-1, моторист-1, мастер по ремонту ходовой части-1, арматуршик-1, диагност-электрик-1, маляр-1).</w:t>
      </w:r>
    </w:p>
    <w:p>
      <w:pPr>
        <w:pStyle w:val="ListParagraph"/>
        <w:numPr>
          <w:ilvl w:val="2"/>
          <w:numId w:val="3"/>
        </w:numPr>
        <w:ind w:left="0" w:hanging="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  <w:lang w:val="x-none" w:eastAsia="x-none"/>
        </w:rPr>
        <w:t>Наличие у Исполнителя расходных материалов и запасных частей для обслуживания техники указанных в таблице 1.</w:t>
      </w:r>
    </w:p>
    <w:p>
      <w:pPr>
        <w:pStyle w:val="Heading1"/>
        <w:numPr>
          <w:ilvl w:val="0"/>
          <w:numId w:val="3"/>
        </w:numPr>
        <w:ind w:left="567" w:hanging="360"/>
        <w:jc w:val="center"/>
        <w:rPr>
          <w:sz w:val="24"/>
          <w:szCs w:val="24"/>
        </w:rPr>
      </w:pPr>
      <w:bookmarkStart w:id="10" w:name="_Toc51339693"/>
      <w:bookmarkStart w:id="11" w:name="_Toc54643702"/>
      <w:bookmarkStart w:id="12" w:name="_Toc46743510"/>
      <w:bookmarkStart w:id="13" w:name="_Toc50125126"/>
      <w:bookmarkEnd w:id="9"/>
      <w:bookmarkEnd w:id="12"/>
      <w:bookmarkEnd w:id="13"/>
      <w:r>
        <w:rPr>
          <w:b/>
          <w:sz w:val="24"/>
          <w:szCs w:val="24"/>
          <w:lang w:val="ru-RU"/>
        </w:rPr>
        <w:t>Требования</w:t>
      </w:r>
      <w:r>
        <w:rPr>
          <w:b/>
          <w:sz w:val="24"/>
          <w:szCs w:val="24"/>
        </w:rPr>
        <w:t xml:space="preserve"> к продукции</w:t>
      </w:r>
      <w:bookmarkEnd w:id="10"/>
      <w:bookmarkEnd w:id="11"/>
    </w:p>
    <w:p>
      <w:pPr>
        <w:pStyle w:val="Heading4"/>
        <w:numPr>
          <w:ilvl w:val="1"/>
          <w:numId w:val="3"/>
        </w:numPr>
        <w:ind w:left="567" w:hanging="432"/>
        <w:rPr>
          <w:sz w:val="24"/>
          <w:szCs w:val="24"/>
        </w:rPr>
      </w:pPr>
      <w:bookmarkStart w:id="14" w:name="_Toc54643703"/>
      <w:r>
        <w:rPr>
          <w:b/>
          <w:sz w:val="24"/>
          <w:szCs w:val="24"/>
        </w:rPr>
        <w:t xml:space="preserve">Требования к объемам и срокам </w:t>
      </w:r>
      <w:r>
        <w:rPr>
          <w:b/>
          <w:sz w:val="24"/>
          <w:szCs w:val="24"/>
          <w:lang w:val="ru-RU"/>
        </w:rPr>
        <w:t>оказания услуг</w:t>
      </w:r>
      <w:bookmarkEnd w:id="14"/>
    </w:p>
    <w:p>
      <w:pPr>
        <w:pStyle w:val="Heading3"/>
        <w:numPr>
          <w:ilvl w:val="2"/>
          <w:numId w:val="3"/>
        </w:numPr>
        <w:ind w:left="567" w:hanging="425"/>
        <w:rPr>
          <w:sz w:val="24"/>
          <w:szCs w:val="24"/>
        </w:rPr>
      </w:pPr>
      <w:bookmarkStart w:id="15" w:name="_Toc54643704"/>
      <w:r>
        <w:rPr>
          <w:b/>
          <w:sz w:val="24"/>
          <w:szCs w:val="24"/>
        </w:rPr>
        <w:t>Требования к перечню и объему услуг</w:t>
      </w:r>
      <w:bookmarkEnd w:id="15"/>
    </w:p>
    <w:p>
      <w:pPr>
        <w:pStyle w:val="Heading1"/>
        <w:tabs>
          <w:tab w:val="clear" w:pos="0"/>
          <w:tab w:val="left" w:pos="851" w:leader="none"/>
        </w:tabs>
        <w:ind w:left="0" w:hanging="0"/>
        <w:rPr>
          <w:sz w:val="24"/>
          <w:szCs w:val="24"/>
        </w:rPr>
      </w:pPr>
      <w:bookmarkStart w:id="16" w:name="_Toc54643705"/>
      <w:bookmarkStart w:id="17" w:name="_Toc51339695"/>
      <w:r>
        <w:rPr>
          <w:b/>
          <w:sz w:val="24"/>
          <w:szCs w:val="24"/>
        </w:rPr>
        <w:t xml:space="preserve">Таблица 2. Перечень </w:t>
      </w:r>
      <w:bookmarkEnd w:id="17"/>
      <w:r>
        <w:rPr>
          <w:b/>
          <w:sz w:val="24"/>
          <w:szCs w:val="24"/>
        </w:rPr>
        <w:t>и объем оказываемых услуг</w:t>
      </w:r>
      <w:bookmarkEnd w:id="16"/>
    </w:p>
    <w:tbl>
      <w:tblPr>
        <w:tblW w:w="9810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06"/>
        <w:gridCol w:w="3544"/>
        <w:gridCol w:w="1360"/>
        <w:gridCol w:w="4199"/>
      </w:tblGrid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Плановое ТО и ремонт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ГАЗ-330232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Луидор 3009D6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 A65R52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УАЗ 220695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ГАЗ 322173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ГАЗ 2824DK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ГАЗ 2824DK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278813 (ГАЗ 33023)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УАЗ 390945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Газель Бизнес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Газель Бизнес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  <w:tr>
        <w:trPr/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УАЗ 220695-4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Норма/час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Согласовывается дополнительно в заказ-наряде при сдаче в ремонт</w:t>
            </w:r>
          </w:p>
        </w:tc>
      </w:tr>
    </w:tbl>
    <w:p>
      <w:pPr>
        <w:pStyle w:val="Heading3"/>
        <w:numPr>
          <w:ilvl w:val="2"/>
          <w:numId w:val="3"/>
        </w:numPr>
        <w:ind w:left="567" w:hanging="504"/>
        <w:rPr>
          <w:sz w:val="24"/>
          <w:szCs w:val="24"/>
        </w:rPr>
      </w:pPr>
      <w:bookmarkStart w:id="18" w:name="_Toc54643706"/>
      <w:bookmarkStart w:id="19" w:name="_Toc51339696"/>
      <w:r>
        <w:rPr>
          <w:b/>
          <w:sz w:val="24"/>
          <w:szCs w:val="24"/>
        </w:rPr>
        <w:t xml:space="preserve">Требования </w:t>
      </w:r>
      <w:bookmarkEnd w:id="19"/>
      <w:r>
        <w:rPr>
          <w:b/>
          <w:sz w:val="24"/>
          <w:szCs w:val="24"/>
        </w:rPr>
        <w:t>к срокам оказания услуг</w:t>
      </w:r>
      <w:bookmarkEnd w:id="18"/>
    </w:p>
    <w:p>
      <w:pPr>
        <w:pStyle w:val="Heading1"/>
        <w:tabs>
          <w:tab w:val="clear" w:pos="0"/>
          <w:tab w:val="left" w:pos="851" w:leader="none"/>
        </w:tabs>
        <w:ind w:left="0" w:hanging="0"/>
        <w:rPr>
          <w:sz w:val="24"/>
          <w:szCs w:val="24"/>
        </w:rPr>
      </w:pPr>
      <w:bookmarkStart w:id="20" w:name="_Toc54643707"/>
      <w:bookmarkStart w:id="21" w:name="_Toc51339697"/>
      <w:bookmarkStart w:id="22" w:name="_Toc50125127"/>
      <w:bookmarkStart w:id="23" w:name="_Toc501251261"/>
      <w:bookmarkEnd w:id="23"/>
      <w:r>
        <w:rPr>
          <w:b/>
          <w:sz w:val="24"/>
          <w:szCs w:val="24"/>
        </w:rPr>
        <w:t xml:space="preserve">Таблица </w:t>
      </w:r>
      <w:r>
        <w:rPr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 xml:space="preserve">. </w:t>
      </w:r>
      <w:bookmarkStart w:id="24" w:name="_Hlk50465284"/>
      <w:r>
        <w:rPr>
          <w:b/>
          <w:sz w:val="24"/>
          <w:szCs w:val="24"/>
        </w:rPr>
        <w:t xml:space="preserve">Требования </w:t>
      </w:r>
      <w:r>
        <w:rPr>
          <w:b/>
          <w:sz w:val="24"/>
          <w:szCs w:val="24"/>
          <w:lang w:val="ru-RU"/>
        </w:rPr>
        <w:t>к</w:t>
      </w:r>
      <w:r>
        <w:rPr>
          <w:b/>
          <w:sz w:val="24"/>
          <w:szCs w:val="24"/>
        </w:rPr>
        <w:t xml:space="preserve"> срокам </w:t>
      </w:r>
      <w:bookmarkEnd w:id="21"/>
      <w:bookmarkEnd w:id="22"/>
      <w:bookmarkEnd w:id="24"/>
      <w:r>
        <w:rPr>
          <w:b/>
          <w:sz w:val="24"/>
          <w:szCs w:val="24"/>
          <w:lang w:val="ru-RU"/>
        </w:rPr>
        <w:t>оказания услуг</w:t>
      </w:r>
      <w:bookmarkEnd w:id="20"/>
    </w:p>
    <w:tbl>
      <w:tblPr>
        <w:tblW w:w="9918" w:type="dxa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4a0" w:noVBand="1" w:noHBand="0" w:lastColumn="0" w:firstColumn="1" w:lastRow="0" w:firstRow="1"/>
      </w:tblPr>
      <w:tblGrid>
        <w:gridCol w:w="1122"/>
        <w:gridCol w:w="2903"/>
        <w:gridCol w:w="2425"/>
        <w:gridCol w:w="3467"/>
      </w:tblGrid>
      <w:tr>
        <w:trPr/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Плановое ТО и ремонт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ГАЗ-330232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Луидор 3009D6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 A65R52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УАЗ 220695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ГАЗ 322173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ГАЗ 2824DK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ГАЗ 2824DK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278813 (ГАЗ 33023)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УАЗ 390945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Газель Бизнес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Газель Бизнес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  <w:tr>
        <w:trPr/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УАЗ 220695-4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позднее 31.12.2026</w:t>
            </w:r>
          </w:p>
        </w:tc>
      </w:tr>
    </w:tbl>
    <w:p>
      <w:pPr>
        <w:pStyle w:val="Normal"/>
        <w:jc w:val="both"/>
        <w:rPr>
          <w:i/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bookmarkStart w:id="25" w:name="_Toc141969503"/>
      <w:r>
        <w:rPr>
          <w:b/>
          <w:sz w:val="24"/>
          <w:szCs w:val="24"/>
        </w:rPr>
        <w:t>2.2.</w:t>
        <w:tab/>
        <w:t>Требования к качеству услуг</w:t>
      </w:r>
      <w:bookmarkEnd w:id="25"/>
    </w:p>
    <w:p>
      <w:pPr>
        <w:pStyle w:val="Heading1"/>
        <w:ind w:left="567" w:hanging="567"/>
        <w:rPr>
          <w:sz w:val="24"/>
          <w:szCs w:val="24"/>
        </w:rPr>
      </w:pPr>
      <w:bookmarkStart w:id="26" w:name="_Toc141969504"/>
      <w:bookmarkStart w:id="27" w:name="_Toc54643709"/>
      <w:bookmarkStart w:id="28" w:name="_Toc50125131"/>
      <w:bookmarkStart w:id="29" w:name="_Toc51339698"/>
      <w:r>
        <w:rPr>
          <w:b/>
          <w:sz w:val="24"/>
          <w:szCs w:val="24"/>
        </w:rPr>
        <w:t xml:space="preserve">Таблица 4. Требования к </w:t>
      </w:r>
      <w:bookmarkEnd w:id="28"/>
      <w:bookmarkEnd w:id="29"/>
      <w:r>
        <w:rPr>
          <w:b/>
          <w:sz w:val="24"/>
          <w:szCs w:val="24"/>
        </w:rPr>
        <w:t>качеству услуг</w:t>
      </w:r>
      <w:bookmarkEnd w:id="26"/>
      <w:bookmarkEnd w:id="27"/>
      <w:r>
        <w:rPr>
          <w:b/>
          <w:sz w:val="24"/>
          <w:szCs w:val="24"/>
        </w:rPr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sz w:val="24"/>
          <w:szCs w:val="24"/>
          <w:lang w:eastAsia="x-none"/>
        </w:rPr>
        <w:t>Наименование услуг: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val="ru-RU"/>
        </w:rPr>
        <w:t>ОКПД2 [45.20.1]  Оказание услуг по техническому обслуживанию и ремонту легких грузовых и коммерческих автомобилей для нужд Дагестанского филиала АО «Гидроремонт-ВКК» в г. Махачкала</w:t>
      </w:r>
      <w:r>
        <w:rPr>
          <w:sz w:val="24"/>
          <w:szCs w:val="24"/>
          <w:lang w:val="ru-RU"/>
        </w:rPr>
        <w:t>.</w:t>
      </w:r>
    </w:p>
    <w:tbl>
      <w:tblPr>
        <w:tblStyle w:val="affffa"/>
        <w:tblW w:w="9612" w:type="dxa"/>
        <w:jc w:val="left"/>
        <w:tblInd w:w="1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68"/>
        <w:gridCol w:w="2745"/>
        <w:gridCol w:w="6199"/>
      </w:tblGrid>
      <w:tr>
        <w:trPr>
          <w:trHeight w:val="705" w:hRule="atLeast"/>
        </w:trPr>
        <w:tc>
          <w:tcPr>
            <w:tcW w:w="66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74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19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</w:tr>
      <w:tr>
        <w:trPr>
          <w:trHeight w:val="503" w:hRule="atLeast"/>
        </w:trPr>
        <w:tc>
          <w:tcPr>
            <w:tcW w:w="66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4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19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bookmarkStart w:id="30" w:name="_Toc53499667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30"/>
          </w:p>
        </w:tc>
        <w:tc>
          <w:tcPr>
            <w:tcW w:w="27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1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оказанию услуг</w:t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720" w:hanging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74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619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  <w:t xml:space="preserve">Услуги должны оказываться в соответствии с постановлением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kern w:val="0"/>
                <w:sz w:val="24"/>
                <w:szCs w:val="24"/>
                <w:lang w:val="ru-RU" w:eastAsia="ru-RU" w:bidi="ar-SA"/>
              </w:rPr>
              <w:t>Правительства РФ от 11 апреля 2001 г № 290 "Об утверждении Правил оказания услуг (выполнения работ) по техническому обслуживанию и ремонту автомототранспортных средств"</w:t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</w:tr>
      <w:tr>
        <w:trPr>
          <w:trHeight w:val="930" w:hRule="atLeast"/>
        </w:trPr>
        <w:tc>
          <w:tcPr>
            <w:tcW w:w="6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2.1.</w:t>
            </w:r>
          </w:p>
        </w:tc>
        <w:tc>
          <w:tcPr>
            <w:tcW w:w="27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применяемым запасным частям</w:t>
            </w:r>
          </w:p>
        </w:tc>
        <w:tc>
          <w:tcPr>
            <w:tcW w:w="61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Используемые запасные части должны быть новые и не эксплуатированными ранее.</w:t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</w:t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3.1.</w:t>
            </w:r>
          </w:p>
        </w:tc>
        <w:tc>
          <w:tcPr>
            <w:tcW w:w="274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Требования к персоналу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Исполнителя</w:t>
            </w:r>
          </w:p>
        </w:tc>
        <w:tc>
          <w:tcPr>
            <w:tcW w:w="6199" w:type="dxa"/>
            <w:tcBorders/>
            <w:shd w:color="auto" w:fill="auto" w:val="clear"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привлекаемый к оказанию услуг должен соответствовать профессиональным стандартам утвержденным приказом Министерства труда и социальной защиты РФ от 02.04.2024 №170н</w:t>
            </w:r>
          </w:p>
        </w:tc>
      </w:tr>
      <w:tr>
        <w:trPr>
          <w:trHeight w:val="64" w:hRule="atLeast"/>
        </w:trPr>
        <w:tc>
          <w:tcPr>
            <w:tcW w:w="6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 xml:space="preserve">  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4.1.</w:t>
            </w:r>
          </w:p>
        </w:tc>
        <w:tc>
          <w:tcPr>
            <w:tcW w:w="27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услуг законодательству РФ</w:t>
            </w:r>
          </w:p>
        </w:tc>
        <w:tc>
          <w:tcPr>
            <w:tcW w:w="61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соблюдать законодательство РФ при оказании услуг по техническому обслуживанию и ремонту автомобилей.</w:t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</w:tr>
      <w:tr>
        <w:trPr/>
        <w:tc>
          <w:tcPr>
            <w:tcW w:w="9612" w:type="dxa"/>
            <w:gridSpan w:val="3"/>
            <w:tcBorders/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предоставляет гарантию на оказанные услуги по техническому обслуживанию и ремонту в течение 3-х месяцев с даты их принятия согласно акту сдачи-приемки оказанных услуг.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предоставляет гарантию на установленные запасные части, детали, агрегаты в течение срока гарантии, установленной заводом – изготовителем.</w:t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оказанию услуг</w:t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en-US" w:eastAsia="ru-RU" w:bidi="ar-SA"/>
              </w:rPr>
              <w:t>6.1</w:t>
            </w:r>
          </w:p>
        </w:tc>
        <w:tc>
          <w:tcPr>
            <w:tcW w:w="27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Стоимость за 1 норма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/час</w:t>
            </w:r>
          </w:p>
        </w:tc>
        <w:tc>
          <w:tcPr>
            <w:tcW w:w="61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Стоимость 1 норма/час является фиксированной и постоянной на протяжении всего срока действия договора</w:t>
            </w:r>
          </w:p>
        </w:tc>
      </w:tr>
      <w:tr>
        <w:trPr/>
        <w:tc>
          <w:tcPr>
            <w:tcW w:w="668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en-US" w:eastAsia="ru-RU" w:bidi="ar-SA"/>
              </w:rPr>
              <w:t>6.2</w:t>
            </w:r>
          </w:p>
        </w:tc>
        <w:tc>
          <w:tcPr>
            <w:tcW w:w="27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Конфиденциальность</w:t>
            </w:r>
          </w:p>
        </w:tc>
        <w:tc>
          <w:tcPr>
            <w:tcW w:w="61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гарантировать наличие у персонала необходимых допусков и разрешений для оказания услуг, соблюдение установленных на объекте режимных требований при входе и выходе персонала, въезде, выезде Техники и ввозе материалов, условий конфиденциальности и неразглашения информации, а также других требований, описанных в данном техническом задании.</w:t>
            </w:r>
          </w:p>
        </w:tc>
      </w:tr>
    </w:tbl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Normal"/>
        <w:rPr>
          <w:sz w:val="24"/>
          <w:szCs w:val="24"/>
        </w:rPr>
      </w:pPr>
      <w:bookmarkStart w:id="31" w:name="_Toc169788353"/>
      <w:r>
        <w:rPr>
          <w:b/>
          <w:sz w:val="24"/>
          <w:szCs w:val="24"/>
        </w:rPr>
        <w:t>3. Требования к документации по ценообразованию на этапе закупки</w:t>
      </w:r>
      <w:bookmarkEnd w:id="31"/>
    </w:p>
    <w:p>
      <w:pPr>
        <w:pStyle w:val="Normal"/>
        <w:widowControl/>
        <w:numPr>
          <w:ilvl w:val="1"/>
          <w:numId w:val="10"/>
        </w:numPr>
        <w:suppressAutoHyphens w:val="true"/>
        <w:bidi w:val="0"/>
        <w:spacing w:before="60" w:after="0"/>
        <w:ind w:left="0" w:right="0" w:hanging="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В обоснование стоимости своей заявки Участник предоставляет Коммерческое предложение по стоимости услуг указанных в таблице 2.</w:t>
      </w:r>
    </w:p>
    <w:p>
      <w:pPr>
        <w:pStyle w:val="Normal"/>
        <w:keepLines/>
        <w:widowControl/>
        <w:numPr>
          <w:ilvl w:val="1"/>
          <w:numId w:val="10"/>
        </w:numPr>
        <w:suppressAutoHyphens w:val="true"/>
        <w:bidi w:val="0"/>
        <w:spacing w:before="60" w:after="0"/>
        <w:ind w:left="0" w:right="0" w:hanging="0"/>
        <w:jc w:val="both"/>
        <w:rPr>
          <w:b/>
          <w:bCs/>
          <w:iCs/>
          <w:sz w:val="24"/>
          <w:szCs w:val="24"/>
        </w:rPr>
      </w:pPr>
      <w:r>
        <w:rPr>
          <w:bCs/>
          <w:iCs/>
          <w:sz w:val="24"/>
          <w:szCs w:val="24"/>
          <w:lang w:eastAsia="x-none"/>
        </w:rPr>
        <w:t>Критерием оценки является стоимость расчетного заказа указанного в таблице 2.</w:t>
      </w:r>
    </w:p>
    <w:p>
      <w:pPr>
        <w:pStyle w:val="Normal"/>
        <w:widowControl/>
        <w:numPr>
          <w:ilvl w:val="1"/>
          <w:numId w:val="10"/>
        </w:numPr>
        <w:suppressAutoHyphens w:val="true"/>
        <w:bidi w:val="0"/>
        <w:spacing w:before="60" w:after="0"/>
        <w:ind w:left="0" w:right="0" w:hanging="0"/>
        <w:jc w:val="both"/>
        <w:rPr>
          <w:b/>
          <w:bCs/>
          <w:iCs/>
          <w:sz w:val="24"/>
          <w:szCs w:val="24"/>
        </w:rPr>
      </w:pPr>
      <w:r>
        <w:rPr>
          <w:bCs/>
          <w:iCs/>
          <w:sz w:val="24"/>
          <w:szCs w:val="24"/>
          <w:lang w:eastAsia="x-none"/>
        </w:rPr>
        <w:t>Дополнительные документы по ценообразованию в состав заявки Участника не включаются.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851" w:gutter="0" w:header="680" w:top="737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18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-418" w:hanging="432"/>
      </w:pPr>
      <w:rPr>
        <w:sz w:val="24"/>
        <w:i w:val="false"/>
        <w:b/>
        <w:szCs w:val="24"/>
        <w:iCs/>
        <w:bCs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4" w:hanging="504"/>
      </w:pPr>
      <w:rPr>
        <w:sz w:val="24"/>
        <w:b w:val="false"/>
        <w:szCs w:val="24"/>
        <w:bCs w:val="false"/>
        <w:lang w:val="x-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7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8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9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9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7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0"/>
        <w:b w:val="false"/>
        <w:szCs w:val="2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46" w:hanging="4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a20b6f"/>
    <w:pPr>
      <w:keepNext w:val="true"/>
      <w:tabs>
        <w:tab w:val="clear" w:pos="708"/>
        <w:tab w:val="left" w:pos="0" w:leader="none"/>
        <w:tab w:val="left" w:pos="851" w:leader="none"/>
      </w:tabs>
      <w:spacing w:before="120" w:after="60"/>
      <w:ind w:left="567" w:hanging="0"/>
      <w:jc w:val="both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a20b6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1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Основной текст_"/>
    <w:link w:val="19"/>
    <w:uiPriority w:val="99"/>
    <w:qFormat/>
    <w:locked/>
    <w:rsid w:val="008e58aa"/>
    <w:rPr>
      <w:sz w:val="28"/>
      <w:szCs w:val="28"/>
      <w:shd w:fill="FFFFFF" w:val="clear"/>
    </w:rPr>
  </w:style>
  <w:style w:type="character" w:styleId="Style15" w:customStyle="1">
    <w:name w:val="Основной текст + Малые прописные"/>
    <w:uiPriority w:val="99"/>
    <w:qFormat/>
    <w:rsid w:val="008e58aa"/>
    <w:rPr>
      <w:rFonts w:ascii="Times New Roman" w:hAnsi="Times New Roman" w:cs="Times New Roman"/>
      <w:smallCaps/>
      <w:color w:val="000000"/>
      <w:spacing w:val="0"/>
      <w:w w:val="100"/>
      <w:sz w:val="28"/>
      <w:szCs w:val="28"/>
      <w:u w:val="none"/>
      <w:lang w:val="ru-RU" w:bidi="ar-SA"/>
    </w:rPr>
  </w:style>
  <w:style w:type="character" w:styleId="Style16" w:customStyle="1">
    <w:name w:val="Маркеры"/>
    <w:qFormat/>
    <w:rPr>
      <w:rFonts w:ascii="OpenSymbol" w:hAnsi="OpenSymbol" w:eastAsia="OpenSymbol" w:cs="OpenSymbol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Style1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0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left="280" w:hanging="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rsid w:val="00e228fa"/>
    <w:pPr/>
    <w:rPr/>
  </w:style>
  <w:style w:type="paragraph" w:styleId="Style25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111" w:customStyle="1">
    <w:name w:val="caption11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7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2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  <w:tab w:val="left" w:pos="851" w:leader="none"/>
      </w:tabs>
      <w:spacing w:before="480" w:after="240"/>
      <w:ind w:left="567" w:hanging="567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9" w:customStyle="1">
    <w:name w:val="Основной текст1"/>
    <w:basedOn w:val="Normal"/>
    <w:link w:val="Style14"/>
    <w:uiPriority w:val="99"/>
    <w:qFormat/>
    <w:rsid w:val="008e58aa"/>
    <w:pPr>
      <w:widowControl w:val="false"/>
      <w:shd w:val="clear" w:color="auto" w:fill="FFFFFF"/>
      <w:spacing w:lineRule="exact" w:line="302"/>
    </w:pPr>
    <w:rPr/>
  </w:style>
  <w:style w:type="paragraph" w:styleId="Default" w:customStyle="1">
    <w:name w:val="Default"/>
    <w:qFormat/>
    <w:rsid w:val="008e58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Style3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paragraph" w:styleId="Style38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paragraph" w:styleId="HTMLPreformatted">
    <w:name w:val="HTML Preformatted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a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0F6AF-60EA-4D7B-8A7F-BDF9B765F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Application>AlterOffice/3.4.0.9$Linux_X86_64 LibreOffice_project/b8daf9e823b1a5463a2f48435ddc2e8696e7d4fc</Application>
  <AppVersion>15.0000</AppVersion>
  <DocSecurity>4</DocSecurity>
  <Pages>5</Pages>
  <Words>1090</Words>
  <Characters>6930</Characters>
  <CharactersWithSpaces>7773</CharactersWithSpaces>
  <Paragraphs>249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2024-11-11T11:58:00Z</dcterms:created>
  <dc:creator>Быстров Олег Геннадьевич</dc:creator>
  <dc:description/>
  <dc:language>ru-RU</dc:language>
  <cp:lastModifiedBy>sunkulievaa@corp.gidroogk.com</cp:lastModifiedBy>
  <cp:lastPrinted>2025-01-22T08:51:50Z</cp:lastPrinted>
  <dcterms:modified xsi:type="dcterms:W3CDTF">2026-06-09T08:20:45Z</dcterms:modified>
  <cp:revision>14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