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Запрос коммерческих предложений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нерегламентированной закупки по лоту</w:t>
        <w:br/>
      </w: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ar-SA"/>
        </w:rPr>
        <w:t>«ОКПД2 56.29.1 «Услуги по обеспечению горячим питанием»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 w:eastAsia="Times New Roman" w:cs="Times New Roman"/>
          <w:b/>
          <w:bCs/>
          <w:color w:val="auto"/>
          <w:kern w:val="2"/>
          <w:sz w:val="24"/>
          <w:szCs w:val="24"/>
          <w:lang w:val="ru-RU" w:eastAsia="ru-RU" w:bidi="ar-SA"/>
        </w:rPr>
      </w:pPr>
      <w:r>
        <w:rPr>
          <w:rFonts w:eastAsia="Times New Roman" w:cs="Times New Roman" w:ascii="Times New Roman" w:hAnsi="Times New Roman"/>
          <w:b/>
          <w:bCs/>
          <w:color w:val="auto"/>
          <w:kern w:val="2"/>
          <w:sz w:val="24"/>
          <w:szCs w:val="24"/>
          <w:lang w:val="ru-RU" w:eastAsia="ru-RU" w:bidi="ar-SA"/>
        </w:rPr>
        <w:t xml:space="preserve">для Филиала ПАО «РусГидро» - «Жигулевская ГЭС»» 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Филиал ПАО «РусГидро» - «Жигулевская ГЭС» (далее – Заказчик) сообщает о проведении анализа коммерческих предложений потенциальных поставщиков в рамках нерегламентированной закупки по лоту </w:t>
      </w:r>
      <w:r>
        <w:rPr>
          <w:rFonts w:eastAsia="Times New Roman" w:cs="Times New Roman"/>
          <w:b w:val="false"/>
          <w:bCs w:val="false"/>
          <w:color w:val="auto"/>
          <w:kern w:val="2"/>
          <w:sz w:val="24"/>
          <w:szCs w:val="24"/>
          <w:lang w:val="ru-RU" w:eastAsia="ru-RU" w:bidi="ar-SA"/>
        </w:rPr>
        <w:t>ОКПД2 56.29.1 «Услуги по обеспечению горячим питанием»</w:t>
      </w:r>
      <w:r>
        <w:rPr>
          <w:color w:val="auto"/>
          <w:sz w:val="24"/>
          <w:szCs w:val="24"/>
        </w:rPr>
        <w:t xml:space="preserve"> для Филиала ПАО «РусГидро» - «Жигулевская ГЭС». 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услуге (в том числе, сведения об объеме, месте, сроках оказания услуги) приведены в Приложении № 1 к настоящему запросу; существенные условия будущего договора (в том числе, условия оплаты и гарантийных обязательств) – см. Приложение № 2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коммерческим предложением должен быть оформлен на официальном бланке Исполнителя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Исполнителя,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b/>
          <w:i/>
        </w:rPr>
        <w:t>[для юридических лиц]</w:t>
      </w:r>
      <w:r>
        <w:rPr>
          <w:sz w:val="24"/>
          <w:szCs w:val="24"/>
        </w:rPr>
        <w:t xml:space="preserve"> /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b/>
          <w:i/>
        </w:rPr>
        <w:t>[для физических лиц]</w:t>
      </w:r>
      <w:r>
        <w:rPr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контактные данные: номер телефона, e-mail,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Исполнителя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Исполнителя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Исполнителя на существенные условия будущего договора, в том числе условия оплаты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цену предложения в рублях (</w:t>
      </w:r>
      <w:r>
        <w:rPr>
          <w:b/>
          <w:sz w:val="24"/>
          <w:szCs w:val="24"/>
        </w:rPr>
        <w:t xml:space="preserve">без </w:t>
      </w:r>
      <w:r>
        <w:rPr>
          <w:b/>
          <w:sz w:val="24"/>
        </w:rPr>
        <w:t xml:space="preserve">учета </w:t>
      </w:r>
      <w:r>
        <w:rPr>
          <w:b/>
          <w:sz w:val="24"/>
          <w:szCs w:val="24"/>
        </w:rPr>
        <w:t>НДС и с учетом НДС</w:t>
      </w:r>
      <w:r>
        <w:rPr>
          <w:sz w:val="24"/>
          <w:szCs w:val="24"/>
        </w:rPr>
        <w:t>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электронной копии на ЭТП РАД в составе заявки Участника, в том числе </w:t>
      </w:r>
      <w:r>
        <w:rPr>
          <w:b/>
          <w:sz w:val="24"/>
          <w:szCs w:val="24"/>
        </w:rPr>
        <w:t>в редактируемом формате</w:t>
      </w:r>
      <w:r>
        <w:rPr>
          <w:sz w:val="24"/>
          <w:szCs w:val="24"/>
        </w:rPr>
        <w:t>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Документы предоставляемые в составе заявки Участника: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Анкета Участника;</w:t>
      </w:r>
      <w:bookmarkStart w:id="0" w:name="_GoBack"/>
      <w:bookmarkEnd w:id="0"/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Выписка из Единого государственного реестра юридических лиц (в том числе с официального сайта ФНС России в сети «Интернет»), сформированная не позднее 1 (одного) месяца до даты подачи заявки;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Выписка из Единого реестра субъектов малого и среднего предпринимательства (в том числе с официального сайта ФНС России в сети «Интернет»); 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постановке на налоговый учёт;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Свидетельство о регистрации юр. лица;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Устав;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документы, подтверждающие полномочия лица, подписывающего Договор (решение об избрании единоличного исполнительного органа, приказ о назначении, доверенность);</w:t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Бухгалтерский баланс на последнюю отчетную дату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567" w:hanging="567"/>
        <w:contextualSpacing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Идентификатор участника электронного документооборота (ЭДО), при наличии.  </w:t>
      </w:r>
    </w:p>
    <w:p>
      <w:pPr>
        <w:pStyle w:val="Normal"/>
        <w:keepNext w:val="true"/>
        <w:ind w:firstLine="624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ind w:firstLine="624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firstLine="624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Приложения: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30" w:leader="none"/>
        </w:tabs>
        <w:spacing w:lineRule="auto" w:line="240" w:before="120" w:after="0"/>
        <w:ind w:left="680" w:hanging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>Техническ</w:t>
      </w:r>
      <w:r>
        <w:rPr>
          <w:sz w:val="24"/>
          <w:szCs w:val="24"/>
        </w:rPr>
        <w:t>ое задание</w:t>
      </w:r>
      <w:r>
        <w:rPr>
          <w:sz w:val="24"/>
          <w:szCs w:val="24"/>
        </w:rPr>
        <w:t xml:space="preserve"> к оказанию услуг.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851" w:leader="none"/>
        </w:tabs>
        <w:spacing w:lineRule="auto" w:line="240" w:before="120" w:after="0"/>
        <w:ind w:left="680" w:hanging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bookmarkStart w:id="1" w:name="_Toc57314691"/>
      <w:bookmarkStart w:id="2" w:name="_Toc69729005"/>
      <w:bookmarkStart w:id="3" w:name="_Ref93295408"/>
      <w:r>
        <w:rPr>
          <w:sz w:val="24"/>
          <w:szCs w:val="24"/>
        </w:rPr>
        <w:t>Проект типового договора / Существенные условия договора (в том числе, условия оплаты).</w:t>
      </w:r>
      <w:bookmarkEnd w:id="1"/>
      <w:bookmarkEnd w:id="2"/>
      <w:bookmarkEnd w:id="3"/>
    </w:p>
    <w:p>
      <w:pPr>
        <w:pStyle w:val="11"/>
        <w:numPr>
          <w:ilvl w:val="0"/>
          <w:numId w:val="0"/>
        </w:numPr>
        <w:spacing w:before="0" w:after="0"/>
        <w:ind w:left="0" w:firstLine="567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1"/>
        <w:numPr>
          <w:ilvl w:val="0"/>
          <w:numId w:val="0"/>
        </w:numPr>
        <w:spacing w:before="0" w:after="0"/>
        <w:ind w:left="0" w:firstLine="567"/>
        <w:outlineLvl w:val="9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3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1900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19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ca1900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ca1900"/>
    <w:pPr>
      <w:keepNext w:val="true"/>
      <w:numPr>
        <w:ilvl w:val="3"/>
        <w:numId w:val="2"/>
      </w:numPr>
      <w:tabs>
        <w:tab w:val="clear" w:pos="720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ca1900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ca1900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uiPriority w:val="99"/>
    <w:qFormat/>
    <w:rsid w:val="00ca1900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ca190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ca1900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ca19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5a79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5a79ef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2e1bea"/>
    <w:rPr>
      <w:rFonts w:ascii="Segoe UI" w:hAnsi="Segoe UI" w:eastAsia="Times New Roman" w:cs="Segoe UI"/>
      <w:sz w:val="18"/>
      <w:szCs w:val="18"/>
      <w:lang w:eastAsia="ru-RU"/>
    </w:rPr>
  </w:style>
  <w:style w:type="character" w:styleId="Strong">
    <w:name w:val="Strong"/>
    <w:qFormat/>
    <w:rPr>
      <w:b/>
      <w:bCs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ca1900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ca1900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5a79ef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0"/>
    <w:uiPriority w:val="99"/>
    <w:unhideWhenUsed/>
    <w:rsid w:val="005a79ef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2e1be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35eb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AlterOffice/2025.3.1.0$Linux_X86_64 LibreOffice_project/6648c49ab2ca125dff246c75ec00a85a64baa8dd</Application>
  <AppVersion>15.0000</AppVersion>
  <Pages>2</Pages>
  <Words>520</Words>
  <Characters>3457</Characters>
  <CharactersWithSpaces>3924</CharactersWithSpaces>
  <Paragraphs>33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2025-11-14T10:34:00Z</dcterms:created>
  <dc:creator>Савушкина Лидия Александровна</dc:creator>
  <dc:description/>
  <dc:language>ru-RU</dc:language>
  <cp:lastModifiedBy>samsonovaaa@corp.gidroogk.com</cp:lastModifiedBy>
  <cp:lastPrinted>2025-04-03T16:29:00Z</cp:lastPrinted>
  <dcterms:modified xsi:type="dcterms:W3CDTF">2026-06-09T09:53:10Z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