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партиями согласно Календарному графику поставки (</w:t>
      </w:r>
      <w:r>
        <w:rPr>
          <w:sz w:val="24"/>
        </w:rPr>
        <w:t>Приложение № 2</w:t>
      </w:r>
      <w:r>
        <w:rPr>
          <w:b w:val="false"/>
          <w:sz w:val="24"/>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 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4"/>
        </w:rPr>
        <w:t>согласно Календарному графику поставки (Приложение № 2)</w:t>
      </w:r>
      <w:r>
        <w:rPr>
          <w:sz w:val="24"/>
          <w:szCs w:val="24"/>
        </w:rPr>
        <w:t xml:space="preserve">.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а также стоимость партии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(тридцати процентов) от стоимости первой партии Продукции, согласно Спецификации (Приложение № 1) и Календарному графику поставки (Приложение № 2), выплачивается в течение 30 (тридцати) календарных дней с даты получения Покупателем счета, выставленного Поставщиком, но не ранее 30 (тридцати) календарных дней до даты поставки первой партии Продукции, с учетом п. 2.6. Договора. Авансовый платеж засчитывается в счет оплаты соответствующей партии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2.5.2. Авансовые платежи в размере 30% (тридцати процентов) от стоимости последующих партий Продукции, согласно Спецификации (Приложение № 1) и Календарному графику поставки (Приложение № 2), выплачиваются в течение 30 (тридцати) календарных дней с даты получения счета, выставленного Поставщиком, но не ранее 30 (тридцати) календарных дней до даты поставки соответствующей партии Продукции согласно Календарному графику поставки (Приложение № 2). Авансовый платеж засчитывается в счет оплаты соответствующей партии Продукции с учетом п. 2.6.</w:t>
      </w:r>
    </w:p>
    <w:p>
      <w:pPr>
        <w:pStyle w:val="Normal"/>
        <w:rPr>
          <w:sz w:val="24"/>
          <w:szCs w:val="24"/>
        </w:rPr>
      </w:pPr>
      <w:r>
        <w:rPr>
          <w:sz w:val="24"/>
          <w:szCs w:val="24"/>
        </w:rPr>
        <w:t xml:space="preserve">2.5.3. Платеж в размере 70% (семидесяти процентов) от стоимости поставленной партии Продукции, согласно Спецификации (Приложение № 1) и Календарного графика поставки (Приложение № 2), производится Покупателем </w:t>
      </w:r>
      <w:r>
        <w:rPr>
          <w:sz w:val="24"/>
          <w:szCs w:val="24"/>
          <w:highlight w:val="yellow"/>
        </w:rPr>
        <w:t>7 (семи) рабочих дней</w:t>
      </w:r>
      <w:r>
        <w:rPr>
          <w:sz w:val="24"/>
          <w:szCs w:val="24"/>
        </w:rPr>
        <w:t xml:space="preserve">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получения счета, выставленного Поставщиком с учетом п. 2.6 Договора. </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 xml:space="preserve">Поставщик обязан представить Покупателю счета-фактуры </w:t>
      </w:r>
      <w:r>
        <w:rPr>
          <w:sz w:val="24"/>
          <w:szCs w:val="24"/>
          <w:shd w:fill="81D41A" w:val="clear"/>
        </w:rPr>
        <w:t>(УПД)</w:t>
      </w:r>
      <w:r>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w:t>
      </w:r>
      <w:r>
        <w:rPr>
          <w:sz w:val="24"/>
          <w:szCs w:val="24"/>
          <w:shd w:fill="81D41A" w:val="clear"/>
        </w:rPr>
        <w:t>(УПД)</w:t>
      </w:r>
      <w:r>
        <w:rPr>
          <w:sz w:val="24"/>
          <w:szCs w:val="24"/>
        </w:rPr>
        <w:t xml:space="preserve">, он обязан произвести замену счета-фактуры </w:t>
      </w:r>
      <w:r>
        <w:rPr>
          <w:sz w:val="24"/>
          <w:szCs w:val="24"/>
          <w:shd w:fill="81D41A" w:val="clear"/>
        </w:rPr>
        <w:t>(УПД)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Pr>
          <w:sz w:val="24"/>
          <w:szCs w:val="24"/>
          <w:highlight w:val="yellow"/>
        </w:rPr>
        <w:t>календарных</w:t>
      </w:r>
      <w:bookmarkStart w:id="0" w:name="_GoBack"/>
      <w:bookmarkEnd w:id="0"/>
      <w:r>
        <w:rPr>
          <w:sz w:val="24"/>
          <w:szCs w:val="24"/>
        </w:rPr>
        <w:t xml:space="preserve"> дней с даты получения авансового платежа счета-фактуры </w:t>
      </w:r>
      <w:r>
        <w:rPr>
          <w:sz w:val="24"/>
          <w:szCs w:val="24"/>
          <w:shd w:fill="81D41A" w:val="clear"/>
        </w:rPr>
        <w:t>(УПД)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851" w:leader="none"/>
          <w:tab w:val="left" w:pos="1425"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Качество, количество и комплектность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(каждую партию отгруженной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о происхождении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Fonts w:cs="Times New Roman"/>
          <w:color w:val="000000"/>
          <w:sz w:val="24"/>
          <w:szCs w:val="24"/>
          <w:shd w:fill="FFBF00" w:val="clear"/>
        </w:rPr>
        <w:t>)</w:t>
      </w:r>
      <w:r>
        <w:rPr>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 (________________)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партиями в соответствии с Календарным графиком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bCs/>
          <w:sz w:val="24"/>
          <w:szCs w:val="24"/>
          <w:lang w:eastAsia="x-none"/>
        </w:rPr>
        <w:t>Покупатель вправе в одностороннем порядке, не позднее чем за 30 (тридцать)  календарных дней до даты поставки соответствующей партии</w:t>
      </w:r>
      <w:r>
        <w:rPr>
          <w:sz w:val="24"/>
          <w:szCs w:val="24"/>
        </w:rPr>
        <w:t xml:space="preserve"> Продукции</w:t>
      </w:r>
      <w:r>
        <w:rPr>
          <w:bCs/>
          <w:sz w:val="24"/>
          <w:szCs w:val="24"/>
          <w:lang w:eastAsia="x-none"/>
        </w:rPr>
        <w:t>, исключить (уменьшить) часть Продукции. Данные изменения будут оформлены дополнительным соглашением к Договору.</w:t>
      </w:r>
      <w:r>
        <w:rPr>
          <w:sz w:val="24"/>
          <w:szCs w:val="24"/>
        </w:rPr>
        <w:t xml:space="preserve">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highlight w:val="yellow"/>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highlight w:val="yellow"/>
        </w:rPr>
        <w:t xml:space="preserve"> </w:t>
      </w:r>
      <w:r>
        <w:rPr>
          <w:sz w:val="24"/>
          <w:szCs w:val="24"/>
          <w:highlight w:val="yellow"/>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Pr>
          <w:sz w:val="24"/>
          <w:szCs w:val="24"/>
        </w:rPr>
        <w:t xml:space="preserve">. </w:t>
      </w:r>
    </w:p>
    <w:p>
      <w:pPr>
        <w:pStyle w:val="Normal"/>
        <w:widowControl w:val="false"/>
        <w:numPr>
          <w:ilvl w:val="1"/>
          <w:numId w:val="6"/>
        </w:numPr>
        <w:tabs>
          <w:tab w:val="clear" w:pos="720"/>
          <w:tab w:val="left" w:pos="993" w:leader="none"/>
          <w:tab w:val="left" w:pos="1276" w:leader="none"/>
        </w:tabs>
        <w:spacing w:before="0" w:after="120"/>
        <w:ind w:left="0" w:firstLine="567"/>
        <w:jc w:val="both"/>
        <w:rPr>
          <w:sz w:val="24"/>
          <w:szCs w:val="24"/>
          <w:highlight w:val="yellow"/>
        </w:rPr>
      </w:pPr>
      <w:r>
        <w:rPr>
          <w:sz w:val="24"/>
          <w:szCs w:val="24"/>
          <w:highlight w:val="yellow"/>
        </w:rPr>
        <w:t xml:space="preserve">В случае нарушения Поставщиком обязательств по поставке партии Продукции (нарушение срока поставки, недопоставка), а также несвоевременного устранения выявленных недостатков Продукции, согласно п.3.14 Договора Поставщик вправе потребовать уплаты Покупателем: </w:t>
      </w:r>
    </w:p>
    <w:p>
      <w:pPr>
        <w:pStyle w:val="Normal"/>
        <w:tabs>
          <w:tab w:val="clear" w:pos="720"/>
          <w:tab w:val="left" w:pos="1134" w:leader="none"/>
        </w:tabs>
        <w:jc w:val="both"/>
        <w:rPr>
          <w:rFonts w:eastAsia="Calibri"/>
          <w:bCs/>
          <w:sz w:val="24"/>
          <w:szCs w:val="24"/>
          <w:highlight w:val="yellow"/>
        </w:rPr>
      </w:pPr>
      <w:r>
        <w:rPr>
          <w:rFonts w:eastAsia="Calibri"/>
          <w:bCs/>
          <w:sz w:val="24"/>
          <w:szCs w:val="24"/>
          <w:highlight w:val="yellow"/>
        </w:rPr>
        <w:tab/>
        <w:t>- неустойки в размере 0,1 (ноль целых и одна десятая) процента от цены партии Продукции, за каждый день просрочки поставки Продукции;</w:t>
      </w:r>
    </w:p>
    <w:p>
      <w:pPr>
        <w:pStyle w:val="Normal"/>
        <w:tabs>
          <w:tab w:val="clear" w:pos="720"/>
          <w:tab w:val="left" w:pos="1134" w:leader="none"/>
        </w:tabs>
        <w:jc w:val="both"/>
        <w:rPr>
          <w:rFonts w:eastAsia="Calibri"/>
          <w:bCs/>
          <w:sz w:val="24"/>
          <w:szCs w:val="24"/>
          <w:highlight w:val="yellow"/>
        </w:rPr>
      </w:pPr>
      <w:r>
        <w:rPr>
          <w:rFonts w:eastAsia="Calibri"/>
          <w:bCs/>
          <w:sz w:val="24"/>
          <w:szCs w:val="24"/>
          <w:highlight w:val="yellow"/>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 </w:t>
      </w:r>
    </w:p>
    <w:p>
      <w:pPr>
        <w:pStyle w:val="Normal"/>
        <w:widowControl w:val="false"/>
        <w:tabs>
          <w:tab w:val="clear" w:pos="720"/>
          <w:tab w:val="left" w:pos="1276" w:leader="none"/>
        </w:tabs>
        <w:spacing w:before="0" w:after="120"/>
        <w:jc w:val="both"/>
        <w:rPr>
          <w:sz w:val="24"/>
          <w:szCs w:val="24"/>
        </w:rPr>
      </w:pPr>
      <w:r>
        <w:rPr>
          <w:rFonts w:eastAsia="Calibri"/>
          <w:bCs/>
          <w:sz w:val="24"/>
          <w:szCs w:val="24"/>
          <w:highlight w:val="yellow"/>
        </w:rPr>
        <w:tab/>
        <w:t>-неустойки в размере 0,1 (ноль целых и одна десятая) процента от стоимости партии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r>
        <w:rPr>
          <w:rFonts w:eastAsia="Calibri"/>
          <w:bCs/>
          <w:sz w:val="24"/>
          <w:szCs w:val="24"/>
        </w:rPr>
        <w:t>.</w:t>
      </w:r>
      <w:r>
        <w:rPr>
          <w:sz w:val="24"/>
          <w:szCs w:val="24"/>
        </w:rPr>
        <w:tab/>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в результате составления и выставления Поставщиком счетов-фактур </w:t>
      </w:r>
      <w:r>
        <w:rPr>
          <w:sz w:val="24"/>
          <w:szCs w:val="24"/>
          <w:shd w:fill="5EB91E" w:val="clear"/>
        </w:rPr>
        <w:t>(УПД)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r>
        <w:rPr>
          <w:sz w:val="24"/>
          <w:szCs w:val="24"/>
          <w:shd w:fill="81D41A" w:val="clear"/>
        </w:rPr>
        <w:t>В случае нарушения Поставщиком срок</w:t>
      </w:r>
      <w:r>
        <w:rPr>
          <w:sz w:val="24"/>
          <w:szCs w:val="24"/>
          <w:shd w:fill="81D41A" w:val="clear"/>
        </w:rPr>
        <w:t>ов,</w:t>
      </w:r>
      <w:r>
        <w:rPr>
          <w:sz w:val="24"/>
          <w:szCs w:val="24"/>
          <w:shd w:fill="81D41A" w:val="clear"/>
        </w:rPr>
        <w:t xml:space="preserve"> предусмотренн</w:t>
      </w:r>
      <w:r>
        <w:rPr>
          <w:sz w:val="24"/>
          <w:szCs w:val="24"/>
          <w:shd w:fill="81D41A" w:val="clear"/>
        </w:rPr>
        <w:t>ых п. 2.9.</w:t>
      </w:r>
      <w:r>
        <w:rPr>
          <w:sz w:val="24"/>
          <w:szCs w:val="24"/>
          <w:shd w:fill="81D41A" w:val="clear"/>
        </w:rPr>
        <w:t xml:space="preserve"> Договор</w:t>
      </w:r>
      <w:r>
        <w:rPr>
          <w:sz w:val="24"/>
          <w:szCs w:val="24"/>
          <w:shd w:fill="81D41A" w:val="clear"/>
        </w:rPr>
        <w:t>а</w:t>
      </w:r>
      <w:r>
        <w:rPr>
          <w:sz w:val="24"/>
          <w:szCs w:val="24"/>
          <w:shd w:fill="81D41A" w:val="clear"/>
        </w:rPr>
        <w:t>,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sz w:val="24"/>
          <w:szCs w:val="24"/>
        </w:rPr>
      </w:pPr>
      <w:r>
        <w:rPr>
          <w:sz w:val="24"/>
          <w:szCs w:val="24"/>
          <w:shd w:fill="FFFF00"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w:t>
      </w:r>
      <w:r>
        <w:rPr>
          <w:sz w:val="24"/>
          <w:szCs w:val="24"/>
          <w:highlight w:val="yellow"/>
        </w:rPr>
        <w:t>г.Москвы</w:t>
      </w:r>
      <w:r>
        <w:rPr>
          <w:sz w:val="24"/>
          <w:szCs w:val="24"/>
        </w:rPr>
        <w:t>.</w:t>
      </w:r>
    </w:p>
    <w:p>
      <w:pPr>
        <w:pStyle w:val="ListParagraph"/>
        <w:shd w:val="clear" w:color="auto" w:fill="FFFFFF"/>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spacing w:before="0" w:after="120"/>
        <w:ind w:left="567" w:hanging="0"/>
        <w:jc w:val="both"/>
        <w:rPr>
          <w:bCs/>
          <w:sz w:val="24"/>
          <w:szCs w:val="24"/>
        </w:rPr>
      </w:pPr>
      <w:r>
        <w:rPr>
          <w:bCs/>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2 – Календарный график поставки.</w:t>
      </w:r>
    </w:p>
    <w:p>
      <w:pPr>
        <w:pStyle w:val="Normal"/>
        <w:spacing w:before="0" w:after="120"/>
        <w:ind w:left="567" w:hanging="567"/>
        <w:rPr>
          <w:sz w:val="24"/>
          <w:szCs w:val="24"/>
        </w:rPr>
      </w:pPr>
      <w:bookmarkStart w:id="4" w:name="sub_1"/>
      <w:r>
        <w:rPr>
          <w:sz w:val="24"/>
          <w:szCs w:val="24"/>
        </w:rPr>
        <w:tab/>
      </w:r>
      <w:bookmarkEnd w:id="4"/>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568"/>
        <w:gridCol w:w="844"/>
        <w:gridCol w:w="565"/>
        <w:gridCol w:w="1567"/>
        <w:gridCol w:w="1560"/>
        <w:gridCol w:w="567"/>
        <w:gridCol w:w="567"/>
        <w:gridCol w:w="709"/>
        <w:gridCol w:w="1842"/>
        <w:gridCol w:w="1559"/>
      </w:tblGrid>
      <w:tr>
        <w:trPr>
          <w:trHeight w:val="510" w:hRule="atLeast"/>
        </w:trPr>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4"/>
              </w:rPr>
            </w:pPr>
            <w:r>
              <w:rPr>
                <w:sz w:val="24"/>
                <w:szCs w:val="24"/>
              </w:rPr>
              <w:t>Страна происхождения Продукции / цифровой код страны</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40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56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40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56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41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37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41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37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8"/>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9"/>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0"/>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color w:val="1F497D"/>
          <w:sz w:val="24"/>
          <w:szCs w:val="24"/>
        </w:rPr>
      </w:pPr>
      <w:r>
        <w:rPr>
          <w:color w:val="1F497D"/>
          <w:sz w:val="24"/>
          <w:szCs w:val="24"/>
        </w:rPr>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sectPr>
          <w:headerReference w:type="default" r:id="rId12"/>
          <w:headerReference w:type="first" r:id="rId13"/>
          <w:footerReference w:type="even" r:id="rId14"/>
          <w:footerReference w:type="default" r:id="rId15"/>
          <w:footerReference w:type="first" r:id="rId16"/>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u w:val="single"/>
        </w:rPr>
      </w:pPr>
      <w:r>
        <w:rPr>
          <w:b/>
          <w:sz w:val="24"/>
          <w:szCs w:val="24"/>
          <w:u w:val="single"/>
        </w:rPr>
      </w:r>
    </w:p>
    <w:p>
      <w:pPr>
        <w:pStyle w:val="Normal"/>
        <w:numPr>
          <w:ilvl w:val="0"/>
          <w:numId w:val="0"/>
        </w:numPr>
        <w:spacing w:before="0" w:after="120"/>
        <w:ind w:left="0" w:firstLine="567"/>
        <w:jc w:val="center"/>
        <w:outlineLvl w:val="0"/>
        <w:rPr>
          <w:b/>
          <w:sz w:val="24"/>
          <w:szCs w:val="24"/>
        </w:rPr>
      </w:pPr>
      <w:r>
        <w:rPr>
          <w:b/>
          <w:sz w:val="24"/>
          <w:szCs w:val="24"/>
        </w:rPr>
        <w:t>Календарный график поставки</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29"/>
        <w:gridCol w:w="1621"/>
        <w:gridCol w:w="2437"/>
        <w:gridCol w:w="673"/>
        <w:gridCol w:w="776"/>
        <w:gridCol w:w="1918"/>
        <w:gridCol w:w="1676"/>
      </w:tblGrid>
      <w:tr>
        <w:trPr>
          <w:trHeight w:val="507" w:hRule="atLeast"/>
        </w:trPr>
        <w:tc>
          <w:tcPr>
            <w:tcW w:w="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r>
          </w:p>
        </w:tc>
      </w:tr>
      <w:tr>
        <w:trPr>
          <w:trHeight w:val="520" w:hRule="atLeast"/>
        </w:trPr>
        <w:tc>
          <w:tcPr>
            <w:tcW w:w="92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243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0" w:hRule="atLeast"/>
        </w:trPr>
        <w:tc>
          <w:tcPr>
            <w:tcW w:w="92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243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Normal"/>
        <w:widowControl w:val="false"/>
        <w:tabs>
          <w:tab w:val="left" w:pos="720" w:leader="none"/>
        </w:tabs>
        <w:spacing w:before="0" w:after="120"/>
        <w:ind w:left="284" w:hanging="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mc:AlternateContent>
          <mc:Choice Requires="wps">
            <w:drawing>
              <wp:anchor behindDoc="0" distT="6985" distB="6350" distL="6350" distR="6985" simplePos="0" locked="0" layoutInCell="0" allowOverlap="1" relativeHeight="46" wp14:anchorId="2E285076">
                <wp:simplePos x="0" y="0"/>
                <wp:positionH relativeFrom="column">
                  <wp:posOffset>147955</wp:posOffset>
                </wp:positionH>
                <wp:positionV relativeFrom="paragraph">
                  <wp:posOffset>1155700</wp:posOffset>
                </wp:positionV>
                <wp:extent cx="5943600" cy="635"/>
                <wp:effectExtent l="6350" t="6985" r="6985" b="6350"/>
                <wp:wrapNone/>
                <wp:docPr id="13"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2E285076">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r>
    </w:p>
    <w:sectPr>
      <w:headerReference w:type="default" r:id="rId17"/>
      <w:headerReference w:type="first" r:id="rId18"/>
      <w:footerReference w:type="default" r:id="rId19"/>
      <w:footerReference w:type="first" r:id="rId20"/>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4"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3"/>
    <w:lvlOverride w:ilvl="0">
      <w:startOverride w:val="1"/>
    </w:lvlOverride>
  </w:num>
  <w:num w:numId="19">
    <w:abstractNumId w:val="13"/>
  </w:num>
  <w:num w:numId="20">
    <w:abstractNumId w:val="13"/>
  </w:num>
  <w:num w:numId="21">
    <w:abstractNumId w:val="13"/>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13dd6"/>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1">
    <w:name w:val="1. Статья Знак"/>
    <w:qFormat/>
    <w:rPr>
      <w:sz w:val="24"/>
      <w:szCs w:val="24"/>
      <w:lang w:val="x-none" w:eastAsia="x-none"/>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paragraph" w:styleId="32">
    <w:name w:val="3. Подпункт"/>
    <w:basedOn w:val="Heading3"/>
    <w:qFormat/>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21">
    <w:name w:val="2. Пункт"/>
    <w:basedOn w:val="Heading3"/>
    <w:qFormat/>
    <w:pPr>
      <w:keepNext w:val="false"/>
      <w:widowControl w:val="false"/>
      <w:numPr>
        <w:ilvl w:val="1"/>
        <w:numId w:val="10"/>
      </w:numPr>
      <w:overflowPunct w:val="true"/>
      <w:jc w:val="both"/>
      <w:textAlignment w:val="baseline"/>
    </w:pPr>
    <w:rPr>
      <w:b w:val="false"/>
      <w:sz w:val="24"/>
      <w:szCs w:val="24"/>
      <w:lang w:val="x-none" w:eastAsia="x-none"/>
    </w:rPr>
  </w:style>
  <w:style w:type="paragraph" w:styleId="12">
    <w:name w:val="1. Статья"/>
    <w:basedOn w:val="Heading3"/>
    <w:qFormat/>
    <w:pPr>
      <w:keepNext w:val="false"/>
      <w:widowControl w:val="false"/>
      <w:numPr>
        <w:ilvl w:val="0"/>
        <w:numId w:val="10"/>
      </w:numPr>
      <w:tabs>
        <w:tab w:val="left" w:pos="0" w:leader="none"/>
        <w:tab w:val="left" w:pos="2340" w:leader="none"/>
      </w:tabs>
      <w:overflowPunct w:val="true"/>
      <w:ind w:left="0" w:right="1462" w:hanging="0"/>
      <w:textAlignment w:val="baseline"/>
    </w:pPr>
    <w:rPr>
      <w:b w:val="false"/>
      <w:sz w:val="24"/>
      <w:szCs w:val="24"/>
      <w:lang w:val="x-none" w:eastAsia="x-none"/>
    </w:rPr>
  </w:style>
  <w:style w:type="paragraph" w:styleId="Style22">
    <w:name w:val="Знак Знак Знак Знак"/>
    <w:basedOn w:val="Normal"/>
    <w:qFormat/>
    <w:pPr>
      <w:spacing w:lineRule="exact" w:line="240" w:before="0" w:after="160"/>
    </w:pPr>
    <w:rPr>
      <w:rFonts w:ascii="Verdana" w:hAnsi="Verdana" w:cs="Verdana"/>
      <w:lang w:val="en-US" w:eastAsia="en-US"/>
    </w:rPr>
  </w:style>
  <w:style w:type="paragraph" w:styleId="Style23">
    <w:name w:val="Таблица текст"/>
    <w:basedOn w:val="Normal"/>
    <w:qFormat/>
    <w:pPr>
      <w:spacing w:before="40" w:after="40"/>
      <w:ind w:left="57" w:right="57" w:hanging="0"/>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864A1-90E7-4B25-870E-3E4F2582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Application>AlterOffice/3.4.0.9$Linux_X86_64 LibreOffice_project/b8daf9e823b1a5463a2f48435ddc2e8696e7d4fc</Application>
  <AppVersion>15.0000</AppVersion>
  <Pages>20</Pages>
  <Words>6883</Words>
  <Characters>49160</Characters>
  <CharactersWithSpaces>55549</CharactersWithSpaces>
  <Paragraphs>382</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2017-11-07T14:48:00Z</dcterms:created>
  <dc:creator>Света &amp; Алла (Twix)</dc:creator>
  <dc:description/>
  <dc:language>ru-RU</dc:language>
  <cp:lastModifiedBy>turkinsa@corp.gidroogk.com</cp:lastModifiedBy>
  <cp:lastPrinted>2017-11-07T14:47:00Z</cp:lastPrinted>
  <dcterms:modified xsi:type="dcterms:W3CDTF">2026-05-27T15:18:59Z</dcterms:modified>
  <cp:revision>40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