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Технические требования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737" w:right="0" w:hanging="0"/>
        <w:contextualSpacing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«ОКПД 2 28.9 Поставка модуля классификации золошлаковых отходов для деления на узкие фракции по крупности нужд АО «ВНИИГ им. Б.Е. Веденеева»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right="-286" w:hanging="360"/>
        <w:contextualSpacing/>
        <w:jc w:val="center"/>
        <w:rPr>
          <w:sz w:val="24"/>
          <w:szCs w:val="24"/>
        </w:rPr>
      </w:pPr>
      <w:bookmarkStart w:id="0" w:name="_Ref124942916"/>
      <w:bookmarkStart w:id="1" w:name="_Ref124942913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Общие сведения</w:t>
      </w:r>
      <w:bookmarkEnd w:id="0"/>
      <w:bookmarkEnd w:id="1"/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bookmarkStart w:id="2" w:name="_Ref124943524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Наименование закупаемой продукции</w:t>
      </w:r>
      <w:bookmarkEnd w:id="2"/>
    </w:p>
    <w:p>
      <w:pPr>
        <w:pStyle w:val="ListParagraph"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737" w:right="0" w:hanging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Модуль классификации золошлаковых отходов (ЗШО) для деления на узкие фракции по крупности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720" w:right="-284" w:hanging="360"/>
        <w:contextualSpacing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bookmarkStart w:id="3" w:name="_Ref124943607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Цель использования закупаемой продукции</w:t>
      </w:r>
      <w:bookmarkEnd w:id="3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737" w:right="0" w:hanging="0"/>
        <w:contextualSpacing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Модуль классификации золошлаковых отходов для деления на узкие фракции по крупности предназначен для выделения фракций золы-уноса ТЭЦ методом мокрого грохочения, а также для доочистки и сгущения. Поставка оборудования требуется для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выполнения работ по договору №1-407-2154/1010-516-2024 от 02.09.2024</w:t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bookmarkStart w:id="4" w:name="_Ref124943717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Требования к продукции</w:t>
      </w:r>
      <w:bookmarkEnd w:id="4"/>
    </w:p>
    <w:p>
      <w:pPr>
        <w:pStyle w:val="ListParagraph"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5" w:name="_Ref124943765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Требования к объемам и срокам поставки</w:t>
      </w:r>
      <w:bookmarkEnd w:id="5"/>
    </w:p>
    <w:p>
      <w:pPr>
        <w:pStyle w:val="ListParagraph"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2"/>
          <w:numId w:val="1"/>
        </w:numPr>
        <w:rPr>
          <w:sz w:val="24"/>
          <w:szCs w:val="24"/>
        </w:rPr>
      </w:pPr>
      <w:bookmarkStart w:id="6" w:name="_Ref124943853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Перечень и объем закупаемой продукции</w:t>
      </w:r>
      <w:bookmarkEnd w:id="6"/>
    </w:p>
    <w:p>
      <w:pPr>
        <w:pStyle w:val="Normal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Таблица 1.1 Перечень и объем закупаемой продукции</w:t>
      </w:r>
    </w:p>
    <w:tbl>
      <w:tblPr>
        <w:tblW w:w="935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90"/>
        <w:gridCol w:w="5899"/>
        <w:gridCol w:w="1270"/>
        <w:gridCol w:w="1490"/>
      </w:tblGrid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Модуль классификации золошлаковых отходов (ЗШО) для деления на узкие фракции по крупности, включающий: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182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Основной блок модуля (без гидроциклонного блока)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182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Гидроциклонный блок (входящий в состав модуля)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pStyle w:val="Caption1"/>
        <w:keepNext w:val="true"/>
        <w:rPr>
          <w:rFonts w:ascii="Times New Roman" w:hAnsi="Times New Roman" w:cs="Times New Roman"/>
          <w:b w:val="false"/>
          <w:bCs w:val="false"/>
          <w:color w:val="auto" w:themeColor="accent1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auto" w:themeColor="accent1"/>
          <w:sz w:val="24"/>
          <w:szCs w:val="24"/>
        </w:rPr>
      </w:r>
    </w:p>
    <w:p>
      <w:pPr>
        <w:pStyle w:val="Caption1"/>
        <w:keepNext w:val="true"/>
        <w:rPr>
          <w:sz w:val="24"/>
          <w:szCs w:val="24"/>
        </w:rPr>
      </w:pPr>
      <w:bookmarkStart w:id="7" w:name="_Ref124944214"/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fldChar w:fldCharType="begin"/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t>1</w:t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>.2 Перечень и объем закупаемых сопутствующих услуг</w:t>
      </w:r>
      <w:bookmarkEnd w:id="7"/>
    </w:p>
    <w:tbl>
      <w:tblPr>
        <w:tblW w:w="921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0"/>
        <w:gridCol w:w="4620"/>
        <w:gridCol w:w="1900"/>
        <w:gridCol w:w="2027"/>
      </w:tblGrid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en-US"/>
        </w:rPr>
      </w:r>
      <w:r>
        <w:br w:type="page"/>
      </w:r>
    </w:p>
    <w:p>
      <w:pPr>
        <w:pStyle w:val="ListParagraph"/>
        <w:numPr>
          <w:ilvl w:val="2"/>
          <w:numId w:val="1"/>
        </w:numPr>
        <w:spacing w:before="0" w:after="200"/>
        <w:contextualSpacing/>
        <w:rPr>
          <w:sz w:val="24"/>
          <w:szCs w:val="24"/>
        </w:rPr>
      </w:pPr>
      <w:bookmarkStart w:id="8" w:name="_Ref124944289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Требования к срокам поставки продукции и оказания сопутствующих услуг</w:t>
      </w:r>
      <w:bookmarkEnd w:id="8"/>
    </w:p>
    <w:p>
      <w:pPr>
        <w:pStyle w:val="Caption1"/>
        <w:keepNext w:val="true"/>
        <w:rPr>
          <w:sz w:val="24"/>
          <w:szCs w:val="24"/>
        </w:rPr>
      </w:pPr>
      <w:bookmarkStart w:id="9" w:name="_Ref124944389"/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fldChar w:fldCharType="begin"/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t>2</w:t>
      </w:r>
      <w:r>
        <w:rPr>
          <w:sz w:val="24"/>
          <w:b w:val="false"/>
          <w:szCs w:val="24"/>
          <w:bCs w:val="false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>.1 Требования по срокам поставки продукции</w:t>
      </w:r>
      <w:bookmarkEnd w:id="9"/>
    </w:p>
    <w:tbl>
      <w:tblPr>
        <w:tblW w:w="9229" w:type="dxa"/>
        <w:jc w:val="left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058"/>
        <w:gridCol w:w="2631"/>
        <w:gridCol w:w="297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Модуль классификации золошлаковых отходов (ЗШО) для деления на узкие фракции по крупности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Не более 90 (девяноста) календарных дней с даты, следующей за датой заключения договора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firstLine="426"/>
        <w:outlineLvl w:val="0"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aption1"/>
        <w:keepNext w:val="true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>Таблица 2.2 Требования по срокам оказания сопутствующих услуг</w:t>
      </w:r>
    </w:p>
    <w:tbl>
      <w:tblPr>
        <w:tblW w:w="9244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"/>
        <w:gridCol w:w="1996"/>
        <w:gridCol w:w="2152"/>
        <w:gridCol w:w="2396"/>
        <w:gridCol w:w="1737"/>
      </w:tblGrid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701" w:right="850" w:gutter="0" w:header="0" w:top="1134" w:footer="284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  <w:lang w:eastAsia="ru-RU"/>
        </w:rPr>
        <w:t>:</w:t>
      </w:r>
    </w:p>
    <w:p>
      <w:pPr>
        <w:pStyle w:val="ListParagraph"/>
        <w:numPr>
          <w:ilvl w:val="1"/>
          <w:numId w:val="1"/>
        </w:numPr>
        <w:ind w:left="993" w:hanging="0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>
          <w:sz w:val="24"/>
          <w:szCs w:val="24"/>
        </w:rPr>
      </w:pPr>
      <w:bookmarkStart w:id="10" w:name="_Ref124944990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fldChar w:fldCharType="begin"/>
      </w:r>
      <w:r>
        <w:rPr>
          <w:sz w:val="24"/>
          <w:b w:val="false"/>
          <w:szCs w:val="24"/>
          <w:bCs w:val="false"/>
          <w:rFonts w:cs="Times New Roman" w:ascii="Times New Roman" w:hAnsi="Times New Roman"/>
        </w:rPr>
        <w:instrText xml:space="preserve"> SEQ Таблица \* ARABIC </w:instrText>
      </w:r>
      <w:r>
        <w:rPr>
          <w:sz w:val="24"/>
          <w:b w:val="false"/>
          <w:szCs w:val="24"/>
          <w:bCs w:val="false"/>
          <w:rFonts w:cs="Times New Roman" w:ascii="Times New Roman" w:hAnsi="Times New Roman"/>
        </w:rPr>
        <w:fldChar w:fldCharType="separate"/>
      </w:r>
      <w:r>
        <w:rPr>
          <w:sz w:val="24"/>
          <w:b w:val="false"/>
          <w:szCs w:val="24"/>
          <w:bCs w:val="false"/>
          <w:rFonts w:cs="Times New Roman" w:ascii="Times New Roman" w:hAnsi="Times New Roman"/>
        </w:rPr>
        <w:t>3</w:t>
      </w:r>
      <w:r>
        <w:rPr>
          <w:sz w:val="24"/>
          <w:b w:val="false"/>
          <w:szCs w:val="24"/>
          <w:b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.1 Требования к продукции</w:t>
      </w:r>
      <w:bookmarkEnd w:id="10"/>
    </w:p>
    <w:p>
      <w:pPr>
        <w:pStyle w:val="ListParagraph"/>
        <w:widowControl/>
        <w:suppressAutoHyphens w:val="true"/>
        <w:bidi w:val="0"/>
        <w:spacing w:lineRule="auto" w:line="240" w:before="0" w:after="0"/>
        <w:ind w:left="737" w:righ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Наименование продукции (позиция №1 Таблицы 1.1): Модуль классификации золошлаковых отходов (ЗШО) для деления на узкие фракции по крупности</w:t>
      </w:r>
    </w:p>
    <w:tbl>
      <w:tblPr>
        <w:tblStyle w:val="211"/>
        <w:tblW w:w="15255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3162"/>
        <w:gridCol w:w="8317"/>
      </w:tblGrid>
      <w:tr>
        <w:trPr>
          <w:tblHeader w:val="true"/>
          <w:trHeight w:val="293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1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Требование покупателя</w:t>
            </w:r>
          </w:p>
        </w:tc>
      </w:tr>
    </w:tbl>
    <w:tbl>
      <w:tblPr>
        <w:tblStyle w:val="25"/>
        <w:tblW w:w="15255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3162"/>
        <w:gridCol w:w="8317"/>
      </w:tblGrid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1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83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  <w:bookmarkStart w:id="11" w:name="_Ref124945369"/>
            <w:bookmarkStart w:id="12" w:name="_Ref124944058"/>
            <w:bookmarkStart w:id="13" w:name="_Ref124945369"/>
            <w:bookmarkStart w:id="14" w:name="_Ref124944058"/>
            <w:bookmarkEnd w:id="13"/>
            <w:bookmarkEnd w:id="14"/>
          </w:p>
        </w:tc>
        <w:tc>
          <w:tcPr>
            <w:tcW w:w="114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Ayinlinebold"/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Технические требования к Товару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84" w:hanging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Модуль классификации золошлаковых отходов (ЗШО) для деления на узкие фракции по крупности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Товар должен быть новым и ранее не использованным, без повреждений, следов воздействия влаги и следов вскрытия. Иметь полный комплект поставки.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Количество выделяемых фракций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7 ( &lt;0,2 / 0,2–0,5 / 0,5–1 / 1–2 / 2–3 / 3–5 / &gt;5 мм)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Производительность по исходному материалу(сухая зола)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менее 1,5 т/ч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Расход воды (свежей / оборотной)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1,6 м³/т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Установленная мощность (база)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7,5 кВт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Напряжение питания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380 В, 50 Гц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Габариты (Д×Ш×В)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7200×2400×4900 мм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Масса (сухая)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4250 кг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Уровень шума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≤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82 дБ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Ресурс сита 0,2 мм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200–250 часов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Производительность по пульпе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 5 м³/ч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Граница разделения (d50)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0,1–0,3 мм (регулируемая)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Эффективность разделения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≥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88%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Рабочее давление на входе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1,5–3,5 бар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Установленная мощность (модуль)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5,5 кВт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Габариты модуля (Д×Ш×В)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1800×1200×2100 мм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Масса модуля (сухая)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650 кг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4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испытаниям. Гарантия.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Упаковка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Комплектация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Основной блок модуля: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tbl>
            <w:tblPr>
              <w:tblStyle w:val="af0"/>
              <w:tblW w:w="50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64"/>
              <w:gridCol w:w="3725"/>
              <w:gridCol w:w="851"/>
            </w:tblGrid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Узел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Кол-во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Бункер исходной золы (ПНД 8 мм, 1,5 м³, футеровка UHMWPE 10 мм)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Шибер с ручным управлением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3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Ленточный питатель (регулировка скорости)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4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Барабанный грохот 5 мм (D=600, L=1200, AISI 304)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5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Барабанный грохот 3 мм (D=600, L=1200, AISI 304)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6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Круглый виброгрохот 2 мм (Ø800)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7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Круглый виброгрохот 1 мм (Ø800)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8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Круглый виброгрохот 0,5 мм (Ø800)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9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Круглый виброгрохот 0,2 мм (Ø800) с УЗ-очисткой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10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Насос высокого давления (6–8 бар) для орошения сита 0,2 мм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11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Самотечные лотки (AISI 304, угол 60°, полиуретановое покрытие)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комплект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12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Емкости накопления (6 шт., 0,5 м³, опрокидные)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6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13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Промежуточная ёмкость пульпы &lt;0,2 мм (1,0 м³, с перемешиванием)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14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орошения основная (2–4 бар, форсунки полный конус)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15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обратной промывки сит (автоматическая)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16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Ультразвуковой генератор + излучатели (сито 0,2 мм)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17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Рама сварная общая + площадки + лестницы + ограждения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18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Универсальный трап обслуживания с регулируемой высотой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46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19</w:t>
                  </w:r>
                </w:p>
              </w:tc>
              <w:tc>
                <w:tcPr>
                  <w:tcW w:w="372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Шкаф управления (ПЛК Siemens / ОВЕН) с датчиками</w:t>
                  </w:r>
                </w:p>
              </w:tc>
              <w:tc>
                <w:tcPr>
                  <w:tcW w:w="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Гидроциклонный блок: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tbl>
            <w:tblPr>
              <w:tblStyle w:val="af0"/>
              <w:tblW w:w="51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3"/>
              <w:gridCol w:w="3810"/>
              <w:gridCol w:w="842"/>
            </w:tblGrid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Узел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Кол-во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Приёмный бак (зумпф) пульпы (0,5 м³, AISI 304)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Пульповый насос износостойкий (с ЧРП, 5,5 кВт)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3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Гидроциклон (корпус AISI 304 / полиуретан, сменные насадки)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4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Рама модуля (мобильная, с колёсами и фиксаторами)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5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Трубопровод обвязки (резина + AISI 304, быстроразъемные соединения)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комплект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6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Запорно-регулирующая арматура (задвижки, обратные клапаны)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комплект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7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Манометры + датчики давления (2 шт.)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8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Шкаф управления модуля (подключение к ПЛК базы по интерфейсу)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9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Комплект кабелей и соединительных линий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49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10</w:t>
                  </w:r>
                </w:p>
              </w:tc>
              <w:tc>
                <w:tcPr>
                  <w:tcW w:w="381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Техническая документация на подключение и эксплуатацию модуля</w:t>
                  </w:r>
                </w:p>
              </w:tc>
              <w:tc>
                <w:tcPr>
                  <w:tcW w:w="84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59" w:before="0" w:after="160"/>
                    <w:jc w:val="left"/>
                    <w:rPr>
                      <w:rFonts w:ascii="Times New Roman" w:hAnsi="Times New Roman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Документация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Для основного блока  модуля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Паспорт установки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Руководство по эксплуатации и монтажу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Сборочные чертежи (формат А2)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Схема гидравлическая (система орошения)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Схема электрическая принципиальная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Перечень запасных частей на 12 месяцев (включая сито 0,2 мм — 3 шт.)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Сертификаты на нержавеющую сталь AISI 304 / 316L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Для гидроциклонного блока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Паспорт модуля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Руководство по подключению и эксплуатации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Схема обвязки и подключения к базовой установке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Схема электрическая и пневматическая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Перечень ЗИП модуля на 12 месяцев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Гарантия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 менее 24 месяцев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Доставка</w:t>
            </w:r>
          </w:p>
        </w:tc>
        <w:tc>
          <w:tcPr>
            <w:tcW w:w="83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lineRule="auto" w:line="240" w:before="0" w:after="0"/>
              <w:ind w:left="72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Доставка Товара осуществляется по адресу Покупателя: 195220, г. Санкт-Петербург, ул. Гжатская, д. 21 за счет Поставщика</w:t>
            </w:r>
          </w:p>
        </w:tc>
      </w:tr>
    </w:tbl>
    <w:p>
      <w:pPr>
        <w:sectPr>
          <w:footerReference w:type="default" r:id="rId5"/>
          <w:footerReference w:type="first" r:id="rId6"/>
          <w:type w:val="nextPage"/>
          <w:pgSz w:orient="landscape" w:w="16838" w:h="11906"/>
          <w:pgMar w:left="238" w:right="567" w:gutter="0" w:header="0" w:top="1418" w:footer="284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spacing w:before="0" w:after="200"/>
        <w:ind w:hanging="0"/>
        <w:contextualSpacing/>
        <w:jc w:val="center"/>
        <w:rPr/>
      </w:pPr>
      <w:r>
        <w:rPr/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0" w:top="1134" w:footer="28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22235100"/>
    </w:sdtPr>
    <w:sdtContent>
      <w:p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sz w:val="22"/>
            <w:szCs w:val="22"/>
            <w:rFonts w:ascii="Times New Roman" w:hAnsi="Times New Roman"/>
          </w:rPr>
          <w:instrText xml:space="preserve"> PAGE </w:instrText>
        </w:r>
        <w:r>
          <w:rPr>
            <w:sz w:val="22"/>
            <w:szCs w:val="22"/>
            <w:rFonts w:ascii="Times New Roman" w:hAnsi="Times New Roman"/>
          </w:rPr>
          <w:fldChar w:fldCharType="separate"/>
        </w:r>
        <w:r>
          <w:rPr>
            <w:sz w:val="22"/>
            <w:szCs w:val="22"/>
            <w:rFonts w:ascii="Times New Roman" w:hAnsi="Times New Roman"/>
          </w:rPr>
          <w:t>3</w:t>
        </w:r>
        <w:r>
          <w:rPr>
            <w:sz w:val="22"/>
            <w:szCs w:val="22"/>
            <w:rFonts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88130061"/>
    </w:sdtPr>
    <w:sdtContent>
      <w:p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8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0489956"/>
    </w:sdtPr>
    <w:sdtContent>
      <w:p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sz w:val="22"/>
            <w:szCs w:val="22"/>
            <w:rFonts w:ascii="Times New Roman" w:hAnsi="Times New Roman"/>
          </w:rPr>
          <w:instrText xml:space="preserve"> PAGE </w:instrText>
        </w:r>
        <w:r>
          <w:rPr>
            <w:sz w:val="22"/>
            <w:szCs w:val="22"/>
            <w:rFonts w:ascii="Times New Roman" w:hAnsi="Times New Roman"/>
          </w:rPr>
          <w:fldChar w:fldCharType="separate"/>
        </w:r>
        <w:r>
          <w:rPr>
            <w:sz w:val="22"/>
            <w:szCs w:val="22"/>
            <w:rFonts w:ascii="Times New Roman" w:hAnsi="Times New Roman"/>
          </w:rPr>
          <w:t>9</w:t>
        </w:r>
        <w:r>
          <w:rPr>
            <w:sz w:val="22"/>
            <w:szCs w:val="22"/>
            <w:rFonts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87985891"/>
    </w:sdtPr>
    <w:sdtContent>
      <w:p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sz w:val="22"/>
            <w:szCs w:val="22"/>
            <w:rFonts w:ascii="Times New Roman" w:hAnsi="Times New Roman"/>
          </w:rPr>
          <w:instrText xml:space="preserve"> PAGE </w:instrText>
        </w:r>
        <w:r>
          <w:rPr>
            <w:sz w:val="22"/>
            <w:szCs w:val="22"/>
            <w:rFonts w:ascii="Times New Roman" w:hAnsi="Times New Roman"/>
          </w:rPr>
          <w:fldChar w:fldCharType="separate"/>
        </w:r>
        <w:r>
          <w:rPr>
            <w:sz w:val="22"/>
            <w:szCs w:val="22"/>
            <w:rFonts w:ascii="Times New Roman" w:hAnsi="Times New Roman"/>
          </w:rPr>
          <w:t>9</w:t>
        </w:r>
        <w:r>
          <w:rPr>
            <w:sz w:val="22"/>
            <w:szCs w:val="22"/>
            <w:rFonts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/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0" w:customStyle="1">
    <w:name w:val="Основной текст_"/>
    <w:basedOn w:val="DefaultParagraphFont"/>
    <w:link w:val="41"/>
    <w:qFormat/>
    <w:rPr>
      <w:rFonts w:ascii="Arial" w:hAnsi="Arial" w:eastAsia="Arial" w:cs="Arial"/>
      <w:spacing w:val="8"/>
      <w:sz w:val="17"/>
      <w:szCs w:val="17"/>
      <w:shd w:fill="FFFFFF" w:val="clea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yinlinebold" w:customStyle="1">
    <w:name w:val="ay_inline_bold"/>
    <w:basedOn w:val="DefaultParagraphFont"/>
    <w:uiPriority w:val="1"/>
    <w:qFormat/>
    <w:rsid w:val="00cf2c7e"/>
    <w:rPr>
      <w:b/>
    </w:rPr>
  </w:style>
  <w:style w:type="character" w:styleId="Style14" w:customStyle="1">
    <w:name w:val="Абзац списка Знак"/>
    <w:link w:val="ListParagraph"/>
    <w:qFormat/>
    <w:rsid w:val="00235f86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next w:val="Normal"/>
    <w:uiPriority w:val="35"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link w:val="Style14"/>
    <w:qFormat/>
    <w:pPr>
      <w:spacing w:before="0" w:after="200"/>
      <w:ind w:left="720" w:hanging="0"/>
      <w:contextualSpacing/>
    </w:pPr>
    <w:rPr/>
  </w:style>
  <w:style w:type="paragraph" w:styleId="Style17">
    <w:name w:val="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4"/>
    <w:basedOn w:val="Normal"/>
    <w:link w:val="Style10"/>
    <w:qFormat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Indexheading1">
    <w:name w:val="index heading1"/>
    <w:basedOn w:val="Style15"/>
    <w:qFormat/>
    <w:pPr/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eastAsia="ru-RU"/>
    </w:rPr>
  </w:style>
  <w:style w:type="paragraph" w:styleId="TOC2">
    <w:name w:val="TOC 2"/>
    <w:basedOn w:val="Normal"/>
    <w:next w:val="Normal"/>
    <w:uiPriority w:val="39"/>
    <w:unhideWhenUsed/>
    <w:qFormat/>
    <w:pPr>
      <w:spacing w:before="0" w:after="100"/>
      <w:ind w:left="220" w:hanging="0"/>
    </w:pPr>
    <w:rPr>
      <w:rFonts w:eastAsia="Arial" w:eastAsiaTheme="minorEastAsia"/>
      <w:lang w:eastAsia="ru-RU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100"/>
    </w:pPr>
    <w:rPr>
      <w:rFonts w:eastAsia="Arial" w:eastAsiaTheme="minorEastAsia"/>
      <w:lang w:eastAsia="ru-RU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100"/>
      <w:ind w:left="440" w:hanging="0"/>
    </w:pPr>
    <w:rPr>
      <w:rFonts w:eastAsia="Arial" w:eastAsiaTheme="minorEastAsia"/>
      <w:lang w:eastAsia="ru-RU"/>
    </w:rPr>
  </w:style>
  <w:style w:type="paragraph" w:styleId="TOC4">
    <w:name w:val="TOC 4"/>
    <w:basedOn w:val="Normal"/>
    <w:next w:val="Normal"/>
    <w:uiPriority w:val="39"/>
    <w:semiHidden/>
    <w:unhideWhenUsed/>
    <w:pPr>
      <w:spacing w:before="0" w:after="100"/>
      <w:ind w:left="660" w:hanging="0"/>
    </w:pPr>
    <w:rPr/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">
    <w:name w:val="Сетка таблицы21"/>
    <w:basedOn w:val="a1"/>
    <w:uiPriority w:val="39"/>
    <w:rsid w:val="0068442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BF5A-8FE2-4AE6-A229-BCE9F701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AlterOffice/2025.3.1.0$Linux_X86_64 LibreOffice_project/431cd1b79110582f53535c95ed0a2449aadc8bf9</Application>
  <AppVersion>15.0000</AppVersion>
  <Pages>9</Pages>
  <Words>949</Words>
  <Characters>5268</Characters>
  <CharactersWithSpaces>5972</CharactersWithSpaces>
  <Paragraphs>267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2026-05-28T14:33:00Z</dcterms:created>
  <dc:creator>NikitinSA</dc:creator>
  <dc:description/>
  <dc:language>ru-RU</dc:language>
  <cp:lastModifiedBy>melnikovaod</cp:lastModifiedBy>
  <cp:lastPrinted>2024-10-16T06:08:00Z</cp:lastPrinted>
  <dcterms:modified xsi:type="dcterms:W3CDTF">2026-06-09T09:48:14Z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