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УТВЕРЖДАЮ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Первый заместитель директора-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Главный инженер</w:t>
      </w:r>
    </w:p>
    <w:p>
      <w:pPr>
        <w:pStyle w:val="Normal"/>
        <w:keepNext w:val="true"/>
        <w:keepLines/>
        <w:overflowPunct w:val="false"/>
        <w:ind w:left="5529" w:right="0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Филиала ПАО «РусГидро» - «Жигулевская ГЭС» 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 А.И. Богданов</w:t>
      </w:r>
    </w:p>
    <w:p>
      <w:pPr>
        <w:pStyle w:val="Normal"/>
        <w:keepNext w:val="true"/>
        <w:keepLines/>
        <w:overflowPunct w:val="false"/>
        <w:ind w:left="5670" w:right="0" w:hanging="141"/>
        <w:rPr/>
      </w:pPr>
      <w:r>
        <w:rPr>
          <w:color w:val="000000"/>
          <w:sz w:val="26"/>
          <w:szCs w:val="26"/>
        </w:rPr>
        <w:t>«___»________________2026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ОКПД2 30.30.32.192 Поставка дронов-перехватчиков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спецификации………………………...…………………………8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БПЛА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ПАО «РусГидро»-«Жигулевская ГЭС»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ОКПД2 30.30.32.192 Поставка дронов-перехватчиков для мобильных огневых групп Минобороны России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Пр-867. Реализация</w:t>
      </w:r>
      <w:r>
        <w:rPr>
          <w:sz w:val="24"/>
          <w:szCs w:val="24"/>
        </w:rPr>
        <w:t xml:space="preserve"> мер защиты Филиала от АНВ с использованием БПЛА.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46743508"/>
      <w:bookmarkStart w:id="9" w:name="_Toc75446570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Развернута мобильная огневая группа в Филиале. Ранее МОГ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Hlk48209761_Копия_1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Дрон-перехватчик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39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оборудования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Дрон-перехватчик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д</w:t>
      </w:r>
      <w:r>
        <w:rPr>
          <w:b w:val="false"/>
          <w:bCs w:val="false"/>
          <w:i w:val="false"/>
          <w:iCs w:val="false"/>
          <w:caps w:val="false"/>
          <w:smallCaps w:val="false"/>
          <w:color w:val="101010"/>
          <w:spacing w:val="0"/>
          <w:sz w:val="24"/>
          <w:szCs w:val="24"/>
        </w:rPr>
        <w:t>рон-перехватчик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, ручная пускова установка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4650"/>
        <w:gridCol w:w="9334"/>
      </w:tblGrid>
      <w:tr>
        <w:trPr>
          <w:trHeight w:val="276" w:hRule="atLeast"/>
        </w:trPr>
        <w:tc>
          <w:tcPr>
            <w:tcW w:w="9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139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Дрон-перехватчик: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Способ поражения цели: кинетический.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Максимальная скорость, км/ч: не менее 200.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Дальность полета, м: не менее 2000.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Маневрирование удержание и поражение цели в автоматическом режиме.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Запуск с помощью ручной пусковой установки.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Масса изделия, кг: не более 3.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1398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 должна соответствовать модели (типу) дрона перехватчика.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 соответствии с техническим паспортом на изделие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22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Температура эксплуатации: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не хуже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от -10℃ до 25℃.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быть доставлено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Самарская область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,        г. Жигулевск, Московское шоссе д.2, Жигулевская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оборудования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34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оборудования.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365 (трехсот шестидесяти пяти) 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устранение гарантийного дефекта.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9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ней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 (предоставляются Заказчику вместе с поставляемым оборудованием в электронном виде и на бумажном носителе на русском языке).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продукции</w:t>
            </w:r>
          </w:p>
        </w:tc>
        <w:tc>
          <w:tcPr>
            <w:tcW w:w="93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 xml:space="preserve">Форма спецификации к поставляемому </w:t>
      </w:r>
      <w:bookmarkEnd w:id="34"/>
      <w:r>
        <w:rPr>
          <w:bCs/>
          <w:iCs/>
          <w:sz w:val="24"/>
          <w:szCs w:val="24"/>
        </w:rPr>
        <w:t>оборудованию.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0" w:right="0" w:hanging="0"/>
        <w:rPr>
          <w:b w:val="false"/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Согласовано:          </w:t>
      </w:r>
    </w:p>
    <w:p>
      <w:pPr>
        <w:pStyle w:val="BodyTex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tbl>
      <w:tblPr>
        <w:tblW w:w="104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819"/>
      </w:tblGrid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val="en-US" w:eastAsia="ru-RU"/>
              </w:rPr>
              <w:t>. директора</w:t>
            </w:r>
            <w:r>
              <w:rPr>
                <w:sz w:val="24"/>
                <w:szCs w:val="24"/>
                <w:lang w:eastAsia="ru-RU"/>
              </w:rPr>
              <w:t xml:space="preserve"> по </w:t>
            </w:r>
            <w:r>
              <w:rPr>
                <w:sz w:val="24"/>
                <w:szCs w:val="24"/>
                <w:lang w:val="en-US" w:eastAsia="ru-RU"/>
              </w:rPr>
              <w:t>безопасности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М.Г. Кирьянов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гл. инженера по эксплуатации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А.А. Катайцев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Начальник отдела закупок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А.В. Ефремов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Начальник СПСР, ТПиР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Т.И. Лукоянова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1541" w:hRule="atLeast"/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Специалист по защите информации СБ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>________________ / Д.</w:t>
            </w:r>
            <w:r>
              <w:rPr>
                <w:sz w:val="24"/>
                <w:szCs w:val="24"/>
                <w:lang w:val="en-US"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val="en-US" w:eastAsia="ru-RU"/>
              </w:rPr>
              <w:t>Иванов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BodyTex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Ref40301253"/>
      <w:bookmarkStart w:id="36" w:name="_Hlk48224758"/>
      <w:r>
        <w:rPr>
          <w:b/>
          <w:bCs/>
          <w:caps/>
          <w:sz w:val="24"/>
          <w:szCs w:val="24"/>
        </w:rPr>
        <w:t xml:space="preserve">Форма спецификации к поставляемому </w:t>
      </w:r>
      <w:bookmarkEnd w:id="35"/>
      <w:bookmarkEnd w:id="36"/>
      <w:r>
        <w:rPr>
          <w:b/>
          <w:bCs/>
          <w:caps/>
          <w:sz w:val="24"/>
          <w:szCs w:val="24"/>
        </w:rPr>
        <w:t xml:space="preserve"> ОборудованиЮ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6091434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179239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Application>AlterOffice/3.4.0.9$Linux_X86_64 LibreOffice_project/b8daf9e823b1a5463a2f48435ddc2e8696e7d4fc</Application>
  <AppVersion>15.0000</AppVersion>
  <Pages>8</Pages>
  <Words>1012</Words>
  <Characters>7119</Characters>
  <CharactersWithSpaces>8021</CharactersWithSpaces>
  <Paragraphs>195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ivanovdv@corp.gidroogk.com</cp:lastModifiedBy>
  <cp:lastPrinted>2006-07-26T14:04:00Z</cp:lastPrinted>
  <dcterms:modified xsi:type="dcterms:W3CDTF">2026-06-08T16:16:04Z</dcterms:modified>
  <cp:revision>95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