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sz w:val="26"/>
          <w:szCs w:val="26"/>
        </w:rPr>
        <w:t>«ОКПД2 18.12.12. Декорирование помещений 1</w:t>
      </w:r>
      <w:r>
        <w:rPr>
          <w:rFonts w:eastAsia="Calibri"/>
          <w:b/>
          <w:sz w:val="26"/>
          <w:szCs w:val="26"/>
        </w:rPr>
        <w:t>8</w:t>
      </w:r>
      <w:r>
        <w:rPr>
          <w:rFonts w:eastAsia="Calibri"/>
          <w:b/>
          <w:sz w:val="26"/>
          <w:szCs w:val="26"/>
        </w:rPr>
        <w:t xml:space="preserve"> научно-технической конференции «Гидроэнергетика. Гидротехника. Новые разработки и технологии» 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.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p>
      <w:pPr>
        <w:pStyle w:val="17"/>
        <w:tabs>
          <w:tab w:val="right" w:pos="9921" w:leader="dot"/>
        </w:tabs>
        <w:rPr/>
      </w:pPr>
      <w:r>
        <w:fldChar w:fldCharType="begin"/>
      </w:r>
      <w:r>
        <w:instrText> TOC \z \o "1-4" \u \h</w:instrText>
      </w:r>
      <w:r>
        <w:fldChar w:fldCharType="separate"/>
      </w:r>
      <w:hyperlink w:anchor="__RefHeading___Toc6168_1121047426">
        <w:r>
          <w:rPr>
            <w:webHidden/>
            <w:rStyle w:val="Style20"/>
          </w:rPr>
          <w:t>1. Общие сведения</w:t>
          <w:tab/>
          <w:t>3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70_1121047426">
        <w:r>
          <w:rPr>
            <w:webHidden/>
            <w:rStyle w:val="Style20"/>
          </w:rPr>
          <w:t>1.1. Наименование закупаемой продукции</w:t>
          <w:tab/>
          <w:t>3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72_1121047426">
        <w:r>
          <w:rPr>
            <w:webHidden/>
            <w:rStyle w:val="Style20"/>
          </w:rPr>
          <w:t>1.2. Цель выполнения работ</w:t>
          <w:tab/>
          <w:t>3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74_1121047426">
        <w:r>
          <w:rPr>
            <w:webHidden/>
            <w:rStyle w:val="Style20"/>
          </w:rPr>
          <w:t>1.3. Существующее положение</w:t>
          <w:tab/>
          <w:t>3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76_1121047426">
        <w:r>
          <w:rPr>
            <w:webHidden/>
            <w:rStyle w:val="Style20"/>
          </w:rPr>
          <w:t>Таблица 1. Перечень объектов заказчика</w:t>
        </w:r>
        <w:r>
          <w:rPr>
            <w:rStyle w:val="Style20"/>
          </w:rPr>
          <w:tab/>
          <w:t>3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78_1121047426">
        <w:r>
          <w:rPr>
            <w:webHidden/>
            <w:rStyle w:val="Style20"/>
          </w:rPr>
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<w:tab/>
          <w:t>3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80_1121047426">
        <w:r>
          <w:rPr>
            <w:webHidden/>
            <w:rStyle w:val="Style20"/>
          </w:rPr>
          <w:t xml:space="preserve">2. </w:t>
        </w:r>
        <w:r>
          <w:rPr>
            <w:rStyle w:val="Style20"/>
            <w:iCs/>
          </w:rPr>
          <w:t>Требования к продукции</w:t>
        </w:r>
        <w:r>
          <w:rPr>
            <w:rStyle w:val="Style20"/>
          </w:rPr>
          <w:tab/>
          <w:t>4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82_1121047426">
        <w:r>
          <w:rPr>
            <w:webHidden/>
            <w:rStyle w:val="Style20"/>
          </w:rPr>
          <w:t>2.1. Требования к объемам и срокам выполнения работ</w:t>
          <w:tab/>
          <w:t>4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84_1121047426">
        <w:r>
          <w:rPr>
            <w:webHidden/>
            <w:rStyle w:val="Style20"/>
          </w:rPr>
          <w:t>Таблица 2. Перечень и объем выполняемых работ</w:t>
          <w:tab/>
          <w:t>4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86_1121047426">
        <w:r>
          <w:rPr>
            <w:webHidden/>
            <w:rStyle w:val="Style20"/>
          </w:rPr>
          <w:t>Таблица 3. Требования по срокам выполнения работ</w:t>
          <w:tab/>
          <w:t>4</w:t>
        </w:r>
      </w:hyperlink>
    </w:p>
    <w:p>
      <w:pPr>
        <w:pStyle w:val="26"/>
        <w:tabs>
          <w:tab w:val="right" w:pos="9921" w:leader="dot"/>
        </w:tabs>
        <w:rPr/>
      </w:pPr>
      <w:hyperlink w:anchor="__RefHeading___Toc6188_1121047426">
        <w:r>
          <w:rPr>
            <w:webHidden/>
            <w:rStyle w:val="Style20"/>
          </w:rPr>
          <w:t>2.2. Требования к качеству работ</w:t>
          <w:tab/>
          <w:t>5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90_1121047426">
        <w:r>
          <w:rPr>
            <w:webHidden/>
            <w:rStyle w:val="Style20"/>
          </w:rPr>
          <w:t>Таблица 4. Требования к качеству работ</w:t>
          <w:tab/>
          <w:t>5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92_1121047426">
        <w:r>
          <w:rPr>
            <w:webHidden/>
            <w:rStyle w:val="Style20"/>
          </w:rPr>
          <w:t>3. Требования к документации по ценообразованию на этапе закупки</w:t>
          <w:tab/>
          <w:t>11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94_1121047426">
        <w:r>
          <w:rPr>
            <w:webHidden/>
            <w:rStyle w:val="Style20"/>
          </w:rPr>
          <w:t>4. Требования к документации по ценообразованию на этапе заключения (исполнения) договора</w:t>
          <w:tab/>
          <w:t>11</w:t>
        </w:r>
      </w:hyperlink>
    </w:p>
    <w:p>
      <w:pPr>
        <w:pStyle w:val="17"/>
        <w:tabs>
          <w:tab w:val="right" w:pos="9921" w:leader="dot"/>
        </w:tabs>
        <w:rPr/>
      </w:pPr>
      <w:hyperlink w:anchor="__RefHeading___Toc6196_1121047426">
        <w:r>
          <w:rPr>
            <w:webHidden/>
            <w:rStyle w:val="Style20"/>
          </w:rPr>
          <w:t xml:space="preserve">5. </w:t>
        </w:r>
        <w:r>
          <w:rPr>
            <w:rStyle w:val="Style20"/>
            <w:iCs/>
          </w:rPr>
          <w:t>Приложения</w:t>
        </w:r>
        <w:r>
          <w:rPr>
            <w:rStyle w:val="Style20"/>
          </w:rPr>
          <w:tab/>
          <w:t>12</w:t>
        </w:r>
      </w:hyperlink>
      <w:r>
        <w:fldChar w:fldCharType="end"/>
      </w:r>
    </w:p>
    <w:p>
      <w:pPr>
        <w:pStyle w:val="Normal"/>
        <w:keepNext w:val="true"/>
        <w:keepLines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caps/>
          <w:lang w:val="ru-RU"/>
        </w:rPr>
      </w:pPr>
      <w:bookmarkStart w:id="0" w:name="__RefHeading___Toc6168_1121047426"/>
      <w:bookmarkStart w:id="1" w:name="_Toc142545296"/>
      <w:bookmarkStart w:id="2" w:name="_Toc51339692"/>
      <w:bookmarkEnd w:id="0"/>
      <w:bookmarkEnd w:id="1"/>
      <w:bookmarkEnd w:id="2"/>
      <w:r>
        <w:rPr>
          <w:lang w:val="ru-RU"/>
        </w:rPr>
        <w:t>Общие сведения</w:t>
      </w:r>
    </w:p>
    <w:p>
      <w:pPr>
        <w:pStyle w:val="4"/>
        <w:numPr>
          <w:ilvl w:val="1"/>
          <w:numId w:val="2"/>
        </w:numPr>
        <w:rPr/>
      </w:pPr>
      <w:bookmarkStart w:id="3" w:name="__RefHeading___Toc6170_1121047426"/>
      <w:bookmarkStart w:id="4" w:name="_Toc142545297"/>
      <w:bookmarkStart w:id="5" w:name="_Toc46743506"/>
      <w:bookmarkEnd w:id="3"/>
      <w:bookmarkEnd w:id="4"/>
      <w:bookmarkEnd w:id="5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>«ОКПД2 18.12.12. Декорирование помещений 1</w:t>
      </w:r>
      <w:r>
        <w:rPr>
          <w:rFonts w:eastAsia="Calibri"/>
          <w:sz w:val="24"/>
          <w:szCs w:val="24"/>
          <w:lang w:eastAsia="x-none"/>
        </w:rPr>
        <w:t>8</w:t>
      </w:r>
      <w:r>
        <w:rPr>
          <w:rFonts w:eastAsia="Calibri"/>
          <w:sz w:val="24"/>
          <w:szCs w:val="24"/>
          <w:lang w:eastAsia="x-none"/>
        </w:rPr>
        <w:t xml:space="preserve"> научно-технической конференции «Гидроэнергетика. Гидротехника. Новые разработки и технологии».</w:t>
      </w:r>
    </w:p>
    <w:p>
      <w:pPr>
        <w:pStyle w:val="4"/>
        <w:numPr>
          <w:ilvl w:val="1"/>
          <w:numId w:val="2"/>
        </w:numPr>
        <w:spacing w:before="240" w:after="60"/>
        <w:ind w:left="431" w:right="0" w:hanging="431"/>
        <w:rPr/>
      </w:pPr>
      <w:bookmarkStart w:id="6" w:name="__RefHeading___Toc6172_1121047426"/>
      <w:bookmarkStart w:id="7" w:name="_Toc142545298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выполнения работ</w:t>
      </w:r>
      <w:bookmarkEnd w:id="7"/>
      <w:r>
        <w:rPr/>
        <w:t xml:space="preserve"> </w:t>
      </w:r>
    </w:p>
    <w:p>
      <w:pPr>
        <w:pStyle w:val="211"/>
        <w:shd w:val="clear" w:color="auto" w:fill="auto"/>
        <w:spacing w:lineRule="auto" w:line="240" w:before="0" w:after="0"/>
        <w:ind w:hanging="0"/>
        <w:rPr/>
      </w:pPr>
      <w:bookmarkStart w:id="9" w:name="_Toc46743508"/>
      <w:bookmarkEnd w:id="9"/>
      <w:r>
        <w:rPr>
          <w:rFonts w:eastAsia="Calibri"/>
          <w:sz w:val="24"/>
          <w:szCs w:val="24"/>
          <w:lang w:eastAsia="x-none"/>
        </w:rPr>
        <w:t xml:space="preserve">Цель: </w:t>
      </w:r>
      <w:r>
        <w:rPr>
          <w:sz w:val="24"/>
          <w:szCs w:val="24"/>
        </w:rPr>
        <w:t xml:space="preserve">Разработка дизайна, изготовление и монтаж декорационных элементов для оформления помещений при проведении </w:t>
      </w:r>
      <w:r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научно-технической конференции «Гидроэнергетика. Гидротехника. Новые разработки и технологии» (1</w:t>
      </w:r>
      <w:r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НТК)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z w:val="24"/>
          <w:szCs w:val="24"/>
        </w:rPr>
        <w:t>–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октября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>
      <w:pPr>
        <w:pStyle w:val="4"/>
        <w:keepNext w:val="true"/>
        <w:widowControl/>
        <w:numPr>
          <w:ilvl w:val="1"/>
          <w:numId w:val="2"/>
        </w:numPr>
        <w:tabs>
          <w:tab w:val="left" w:pos="450" w:leader="none"/>
        </w:tabs>
        <w:bidi w:val="0"/>
        <w:spacing w:before="120" w:after="60"/>
        <w:ind w:left="1984" w:right="0" w:hanging="1984"/>
        <w:jc w:val="left"/>
        <w:outlineLvl w:val="1"/>
        <w:rPr/>
      </w:pPr>
      <w:bookmarkStart w:id="10" w:name="__RefHeading___Toc6174_1121047426"/>
      <w:bookmarkStart w:id="11" w:name="_Toc142545299"/>
      <w:bookmarkEnd w:id="10"/>
      <w:r>
        <w:rPr/>
        <w:t>Существующее положение</w:t>
      </w:r>
      <w:bookmarkEnd w:id="11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i/>
          <w:i/>
        </w:rPr>
      </w:pPr>
      <w:r>
        <w:rPr>
          <w:sz w:val="24"/>
          <w:szCs w:val="24"/>
        </w:rPr>
        <w:t>Научно-техническая конференция «Гидроэнергетика. Гидротехника. Новые разработки и технологии» проводится с 2005 года на базе ВНИИГ им. Б.Е. Веденеева и Санкт-Петербургского политехнического университета Петра Великого (СПбПУ)</w:t>
      </w:r>
      <w:r>
        <w:rPr>
          <w:i/>
        </w:rPr>
        <w:t>.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проведения конференции организуется оформление следующих помещений: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зал для проведения пленарного заседания (Белый зал СПбПУ).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/>
      </w:pPr>
      <w:r>
        <w:rPr>
          <w:sz w:val="24"/>
          <w:szCs w:val="24"/>
        </w:rPr>
        <w:t xml:space="preserve">- помещения для проведения научных секций и круглых столов (8–9 залов).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- помещения для проведения регистрации участников (2 помещения)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помещения для проведения кофе-брейков.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rFonts w:eastAsia="Calibri"/>
          <w:sz w:val="24"/>
          <w:szCs w:val="24"/>
          <w:lang w:eastAsia="x-none"/>
        </w:rPr>
      </w:pPr>
      <w:r>
        <w:rPr>
          <w:sz w:val="24"/>
          <w:szCs w:val="24"/>
        </w:rPr>
        <w:t xml:space="preserve">Для оформления используются баннеры, пресс-волы, рол-апы и др. разного формата и размера в зависимости от объема помещения. 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right="0" w:hanging="0"/>
        <w:rPr>
          <w:rStyle w:val="Style14"/>
          <w:b/>
          <w:b/>
          <w:i w:val="false"/>
          <w:i w:val="false"/>
          <w:sz w:val="24"/>
          <w:szCs w:val="24"/>
          <w:highlight w:val="white"/>
          <w:lang w:val="ru-RU"/>
        </w:rPr>
      </w:pPr>
      <w:bookmarkStart w:id="12" w:name="__RefHeading___Toc6176_1121047426"/>
      <w:bookmarkStart w:id="13" w:name="_Toc142545300"/>
      <w:bookmarkStart w:id="14" w:name="_Toc467435081"/>
      <w:bookmarkEnd w:id="12"/>
      <w:bookmarkEnd w:id="1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bookmarkEnd w:id="13"/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9918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64"/>
        <w:gridCol w:w="1843"/>
        <w:gridCol w:w="1984"/>
        <w:gridCol w:w="2410"/>
      </w:tblGrid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ФГАОУ ВО </w:t>
            </w:r>
            <w:r>
              <w:rPr>
                <w:color w:val="000000"/>
                <w:sz w:val="24"/>
                <w:szCs w:val="24"/>
              </w:rPr>
              <w:t>СПбПУ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Санкт-Петербург, ул. Политехническая, 29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>
      <w:pPr>
        <w:pStyle w:val="4"/>
        <w:keepNext w:val="true"/>
        <w:widowControl/>
        <w:numPr>
          <w:ilvl w:val="1"/>
          <w:numId w:val="2"/>
        </w:numPr>
        <w:tabs>
          <w:tab w:val="left" w:pos="585" w:leader="none"/>
          <w:tab w:val="left" w:pos="1650" w:leader="none"/>
        </w:tabs>
        <w:bidi w:val="0"/>
        <w:spacing w:before="120" w:after="60"/>
        <w:ind w:left="0" w:right="0" w:hanging="0"/>
        <w:jc w:val="left"/>
        <w:outlineLvl w:val="1"/>
        <w:rPr/>
      </w:pPr>
      <w:bookmarkStart w:id="15" w:name="__RefHeading___Toc6178_1121047426"/>
      <w:bookmarkStart w:id="16" w:name="_Toc142545301"/>
      <w:bookmarkStart w:id="17" w:name="_Hlk49857604"/>
      <w:bookmarkStart w:id="18" w:name="_Toc46743509"/>
      <w:bookmarkEnd w:id="15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6"/>
      <w:bookmarkEnd w:id="17"/>
      <w:bookmarkEnd w:id="18"/>
      <w:r>
        <w:rPr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Работа осуществляется в соответствии с техническими требованиями и дизайн-макетом, который разработал Исполнитель и согласовал с Заказчиком. 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iCs/>
          <w:caps/>
          <w:lang w:val="ru-RU"/>
        </w:rPr>
      </w:pPr>
      <w:bookmarkStart w:id="20" w:name="__RefHeading___Toc6180_1121047426"/>
      <w:bookmarkStart w:id="21" w:name="_Toc46743510"/>
      <w:bookmarkStart w:id="22" w:name="_Toc50125126"/>
      <w:bookmarkStart w:id="23" w:name="_Toc142545302"/>
      <w:bookmarkStart w:id="24" w:name="_Toc51339693"/>
      <w:bookmarkEnd w:id="20"/>
      <w:bookmarkEnd w:id="21"/>
      <w:bookmarkEnd w:id="22"/>
      <w:bookmarkEnd w:id="23"/>
      <w:bookmarkEnd w:id="24"/>
      <w:r>
        <w:rPr>
          <w:iCs/>
        </w:rPr>
        <w:t>Требования к продукции</w:t>
      </w:r>
    </w:p>
    <w:p>
      <w:pPr>
        <w:pStyle w:val="4"/>
        <w:keepNext w:val="true"/>
        <w:widowControl/>
        <w:numPr>
          <w:ilvl w:val="1"/>
          <w:numId w:val="2"/>
        </w:numPr>
        <w:bidi w:val="0"/>
        <w:spacing w:before="120" w:after="60"/>
        <w:ind w:left="0" w:right="0" w:hanging="0"/>
        <w:jc w:val="left"/>
        <w:outlineLvl w:val="1"/>
        <w:rPr/>
      </w:pPr>
      <w:bookmarkStart w:id="25" w:name="__RefHeading___Toc6182_1121047426"/>
      <w:bookmarkStart w:id="26" w:name="_Toc142545303"/>
      <w:bookmarkEnd w:id="25"/>
      <w:r>
        <w:rPr/>
        <w:t xml:space="preserve">Требования к объемам и срокам </w:t>
      </w:r>
      <w:bookmarkEnd w:id="26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2"/>
        </w:numPr>
        <w:rPr/>
      </w:pPr>
      <w:bookmarkStart w:id="27" w:name="_Toc142545304"/>
      <w:r>
        <w:rPr>
          <w:rFonts w:eastAsia="Calibri"/>
          <w:b/>
          <w:sz w:val="24"/>
          <w:szCs w:val="24"/>
          <w:lang w:val="ru-RU" w:eastAsia="x-none"/>
        </w:rPr>
        <w:t>Требования</w:t>
      </w:r>
      <w:bookmarkEnd w:id="27"/>
      <w:r>
        <w:rPr>
          <w:lang w:val="ru-RU"/>
        </w:rPr>
        <w:t xml:space="preserve"> к видам и объемам работ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8" w:name="__RefHeading___Toc6184_1121047426"/>
      <w:bookmarkStart w:id="29" w:name="_Toc51339695"/>
      <w:bookmarkStart w:id="30" w:name="_Toc142545305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bookmarkEnd w:id="30"/>
      <w:r>
        <w:rPr>
          <w:sz w:val="24"/>
          <w:szCs w:val="24"/>
          <w:lang w:val="ru-RU"/>
        </w:rPr>
        <w:t>и объем выполняемых работ</w:t>
      </w:r>
    </w:p>
    <w:tbl>
      <w:tblPr>
        <w:tblStyle w:val="af"/>
        <w:tblpPr w:bottomFromText="0" w:horzAnchor="margin" w:leftFromText="180" w:rightFromText="180" w:tblpX="0" w:tblpY="58" w:topFromText="0" w:vertAnchor="text"/>
        <w:tblW w:w="10137" w:type="dxa"/>
        <w:jc w:val="left"/>
        <w:tblInd w:w="88" w:type="dxa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7"/>
        <w:gridCol w:w="4821"/>
        <w:gridCol w:w="2407"/>
        <w:gridCol w:w="2091"/>
      </w:tblGrid>
      <w:tr>
        <w:trPr/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работ/этапов работ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4" w:hRule="atLeast"/>
        </w:trPr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18.12.12. Декорирование помещений 1</w:t>
            </w:r>
            <w:r>
              <w:rPr>
                <w:rFonts w:eastAsia="Calibri"/>
                <w:sz w:val="24"/>
                <w:szCs w:val="24"/>
                <w:lang w:eastAsia="x-none"/>
              </w:rPr>
              <w:t>8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научно-технической конференции «Гидроэнергетика. Гидротехника. Новые разработки и технологии» </w:t>
            </w:r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4"/>
              </w:rPr>
              <w:t>у.е.</w:t>
            </w:r>
          </w:p>
          <w:p>
            <w:pPr>
              <w:pStyle w:val="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numPr>
          <w:ilvl w:val="2"/>
          <w:numId w:val="2"/>
        </w:numPr>
        <w:rPr>
          <w:lang w:val="ru-RU"/>
        </w:rPr>
      </w:pPr>
      <w:bookmarkStart w:id="31" w:name="_Toc51339696"/>
      <w:bookmarkStart w:id="32" w:name="_Toc142545306"/>
      <w:r>
        <w:rPr>
          <w:lang w:val="ru-RU"/>
        </w:rPr>
        <w:t xml:space="preserve">Требования </w:t>
      </w:r>
      <w:bookmarkEnd w:id="31"/>
      <w:bookmarkEnd w:id="32"/>
      <w:r>
        <w:rPr>
          <w:lang w:val="ru-RU"/>
        </w:rPr>
        <w:t>к срокам выполнения работ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33" w:name="__RefHeading___Toc6186_1121047426"/>
      <w:bookmarkStart w:id="34" w:name="_Toc51339697"/>
      <w:bookmarkStart w:id="35" w:name="_Toc50125127"/>
      <w:bookmarkStart w:id="36" w:name="_Toc142545307"/>
      <w:bookmarkStart w:id="37" w:name="_Toc501251261"/>
      <w:bookmarkEnd w:id="33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8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6"/>
      <w:bookmarkEnd w:id="38"/>
      <w:r>
        <w:rPr>
          <w:sz w:val="24"/>
          <w:szCs w:val="24"/>
          <w:lang w:val="ru-RU"/>
        </w:rPr>
        <w:t>выполнения работ</w:t>
      </w:r>
    </w:p>
    <w:p>
      <w:pPr>
        <w:pStyle w:val="Normal"/>
        <w:rPr>
          <w:b/>
          <w:b/>
          <w:sz w:val="24"/>
          <w:szCs w:val="24"/>
        </w:rPr>
      </w:pPr>
      <w:bookmarkStart w:id="39" w:name="_Toc50125131"/>
      <w:bookmarkStart w:id="40" w:name="_Toc467435101"/>
      <w:bookmarkStart w:id="41" w:name="_Toc50125131"/>
      <w:bookmarkStart w:id="42" w:name="_Toc467435101"/>
      <w:bookmarkEnd w:id="42"/>
      <w:r>
        <w:rPr>
          <w:b/>
          <w:sz w:val="24"/>
          <w:szCs w:val="24"/>
        </w:rPr>
      </w:r>
    </w:p>
    <w:tbl>
      <w:tblPr>
        <w:tblStyle w:val="af"/>
        <w:tblpPr w:bottomFromText="0" w:horzAnchor="margin" w:leftFromText="180" w:rightFromText="180" w:tblpX="0" w:tblpY="58" w:topFromText="0" w:vertAnchor="text"/>
        <w:tblW w:w="10137" w:type="dxa"/>
        <w:jc w:val="left"/>
        <w:tblInd w:w="88" w:type="dxa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7"/>
        <w:gridCol w:w="4821"/>
        <w:gridCol w:w="2407"/>
        <w:gridCol w:w="2091"/>
      </w:tblGrid>
      <w:tr>
        <w:trPr/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работ/этапов работ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работ/этапа работ</w:t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работ/этапа работ</w:t>
            </w:r>
          </w:p>
        </w:tc>
      </w:tr>
      <w:tr>
        <w:trPr/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988" w:hRule="atLeast"/>
        </w:trPr>
        <w:tc>
          <w:tcPr>
            <w:tcW w:w="8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18.12.12. Декорирование помещений 1</w:t>
            </w:r>
            <w:r>
              <w:rPr>
                <w:rFonts w:eastAsia="Calibri"/>
                <w:sz w:val="24"/>
                <w:szCs w:val="24"/>
                <w:lang w:eastAsia="x-none"/>
              </w:rPr>
              <w:t>8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научно-технической конференции «Гидроэнергетика. Гидротехника. Новые разработки и технологии» </w:t>
            </w:r>
          </w:p>
        </w:tc>
        <w:tc>
          <w:tcPr>
            <w:tcW w:w="240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момента заключения Договора</w:t>
            </w:r>
          </w:p>
          <w:p>
            <w:pPr>
              <w:pStyle w:val="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09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 xml:space="preserve"> октября 202</w:t>
            </w:r>
            <w:r>
              <w:rPr>
                <w:sz w:val="22"/>
                <w:szCs w:val="24"/>
              </w:rPr>
              <w:t>6</w:t>
            </w:r>
            <w:r>
              <w:rPr>
                <w:sz w:val="22"/>
                <w:szCs w:val="24"/>
              </w:rPr>
              <w:t xml:space="preserve"> г.</w:t>
            </w:r>
          </w:p>
          <w:p>
            <w:pPr>
              <w:pStyle w:val="Normal"/>
              <w:jc w:val="center"/>
              <w:rPr>
                <w:rStyle w:val="Pagenumber"/>
              </w:rPr>
            </w:pPr>
            <w:r>
              <w:rPr/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itlePg/>
          <w:textDirection w:val="lrTb"/>
          <w:docGrid w:type="default" w:linePitch="360" w:charSpace="4294952959"/>
        </w:sectPr>
      </w:pPr>
    </w:p>
    <w:p>
      <w:pPr>
        <w:pStyle w:val="4"/>
        <w:keepNext w:val="true"/>
        <w:widowControl/>
        <w:numPr>
          <w:ilvl w:val="1"/>
          <w:numId w:val="2"/>
        </w:numPr>
        <w:tabs>
          <w:tab w:val="left" w:pos="495" w:leader="none"/>
          <w:tab w:val="left" w:pos="1980" w:leader="none"/>
        </w:tabs>
        <w:bidi w:val="0"/>
        <w:spacing w:before="120" w:after="60"/>
        <w:ind w:left="0" w:right="0" w:hanging="0"/>
        <w:jc w:val="left"/>
        <w:outlineLvl w:val="1"/>
        <w:rPr/>
      </w:pPr>
      <w:bookmarkStart w:id="43" w:name="__RefHeading___Toc6188_1121047426"/>
      <w:bookmarkStart w:id="44" w:name="_Toc51339698"/>
      <w:bookmarkStart w:id="45" w:name="_Toc142545308"/>
      <w:bookmarkEnd w:id="43"/>
      <w:r>
        <w:rPr/>
        <w:t xml:space="preserve">Требования к </w:t>
      </w:r>
      <w:bookmarkEnd w:id="45"/>
      <w:r>
        <w:rPr>
          <w:lang w:val="ru-RU"/>
        </w:rPr>
        <w:t>качеству работ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right="0" w:hanging="0"/>
        <w:rPr>
          <w:rStyle w:val="Style14"/>
          <w:b/>
          <w:b/>
          <w:i w:val="false"/>
          <w:i w:val="false"/>
          <w:sz w:val="24"/>
          <w:szCs w:val="24"/>
          <w:highlight w:val="white"/>
          <w:lang w:val="ru-RU"/>
        </w:rPr>
      </w:pPr>
      <w:bookmarkStart w:id="46" w:name="__RefHeading___Toc6190_1121047426"/>
      <w:bookmarkStart w:id="47" w:name="_Toc142545309"/>
      <w:bookmarkEnd w:id="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1"/>
      <w:bookmarkEnd w:id="44"/>
      <w:r>
        <w:rPr>
          <w:sz w:val="24"/>
          <w:szCs w:val="24"/>
          <w:lang w:val="ru-RU"/>
        </w:rPr>
        <w:t>качеству работ</w:t>
      </w:r>
      <w:bookmarkEnd w:id="47"/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 работ/этапа работ (Таблица 2): </w:t>
      </w:r>
      <w:r>
        <w:rPr>
          <w:rFonts w:eastAsia="Calibri"/>
          <w:sz w:val="24"/>
          <w:szCs w:val="24"/>
          <w:lang w:eastAsia="x-none"/>
        </w:rPr>
        <w:t>ОКПД2 18.12.12. Декорирование помещений 1</w:t>
      </w:r>
      <w:r>
        <w:rPr>
          <w:rFonts w:eastAsia="Calibri"/>
          <w:sz w:val="24"/>
          <w:szCs w:val="24"/>
          <w:lang w:eastAsia="x-none"/>
        </w:rPr>
        <w:t>8</w:t>
      </w:r>
      <w:r>
        <w:rPr>
          <w:rFonts w:eastAsia="Calibri"/>
          <w:sz w:val="24"/>
          <w:szCs w:val="24"/>
          <w:lang w:eastAsia="x-none"/>
        </w:rPr>
        <w:t xml:space="preserve"> научно-технической конференции «Гидроэнергетика. Гидротехника. Новые разработки и технологии» по адресу: ул. Политехническая, д.29</w:t>
      </w:r>
    </w:p>
    <w:tbl>
      <w:tblPr>
        <w:tblStyle w:val="af"/>
        <w:tblW w:w="15026" w:type="dxa"/>
        <w:jc w:val="left"/>
        <w:tblInd w:w="-25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6"/>
        <w:gridCol w:w="2015"/>
        <w:gridCol w:w="3735"/>
        <w:gridCol w:w="2663"/>
        <w:gridCol w:w="2900"/>
        <w:gridCol w:w="2856"/>
      </w:tblGrid>
      <w:tr>
        <w:trPr/>
        <w:tc>
          <w:tcPr>
            <w:tcW w:w="856" w:type="dxa"/>
            <w:vMerge w:val="restart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15" w:type="dxa"/>
            <w:vMerge w:val="restart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35" w:type="dxa"/>
            <w:vMerge w:val="restart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63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56" w:type="dxa"/>
            <w:vMerge w:val="restart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6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15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35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56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60" w:after="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Техническим требованиям </w:t>
            </w:r>
          </w:p>
        </w:tc>
        <w:tc>
          <w:tcPr>
            <w:tcW w:w="3735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выполнении работ Подрядчик должен руководствоваться настоящими Техническими требованиями, в строгом соответствии с согласованным Заказчиком дизайн-макетом. </w:t>
            </w:r>
          </w:p>
        </w:tc>
        <w:tc>
          <w:tcPr>
            <w:tcW w:w="266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48" w:name="_Toc142319987"/>
            <w:bookmarkStart w:id="49" w:name="_Toc142314402"/>
            <w:bookmarkStart w:id="50" w:name="_Toc141882507"/>
            <w:bookmarkEnd w:id="48"/>
            <w:bookmarkEnd w:id="49"/>
            <w:bookmarkEnd w:id="50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работ</w:t>
            </w:r>
          </w:p>
        </w:tc>
        <w:tc>
          <w:tcPr>
            <w:tcW w:w="3735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включают в себя: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концепции оформления, 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</w:rPr>
              <w:t xml:space="preserve">- разработка дизайн-макетов каждого элемента декораций, </w:t>
            </w:r>
            <w:r>
              <w:rPr>
                <w:sz w:val="24"/>
                <w:szCs w:val="24"/>
              </w:rPr>
              <w:t>цветокоррекция и ретушь материалов, предоставленных заказчиком,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внесение правок Заказчика,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подготовка к печати,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декораций,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доставка, разгрузка-погрузка,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за день перед мероприятием,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</w:rPr>
              <w:t>- демонтаж после проведения мероприятия.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51" w:name="_Toc142319988"/>
            <w:bookmarkEnd w:id="51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организации работ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Монтаж декорационных элементов завершается: 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  <w:lang w:eastAsia="x-none"/>
              </w:rPr>
              <w:t>1. Площадка проведения пленарного заседания – до 09.00 0</w:t>
            </w:r>
            <w:r>
              <w:rPr>
                <w:sz w:val="24"/>
                <w:szCs w:val="24"/>
                <w:lang w:eastAsia="x-none"/>
              </w:rPr>
              <w:t>7</w:t>
            </w:r>
            <w:r>
              <w:rPr>
                <w:sz w:val="24"/>
                <w:szCs w:val="24"/>
                <w:lang w:eastAsia="x-none"/>
              </w:rPr>
              <w:t>.10.20</w:t>
            </w:r>
            <w:r>
              <w:rPr>
                <w:sz w:val="24"/>
                <w:szCs w:val="24"/>
                <w:lang w:eastAsia="x-none"/>
              </w:rPr>
              <w:t>26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  <w:lang w:eastAsia="x-none"/>
              </w:rPr>
              <w:t>2. Площадка для проведения секций – до 10.00 0</w:t>
            </w:r>
            <w:r>
              <w:rPr>
                <w:sz w:val="24"/>
                <w:szCs w:val="24"/>
                <w:lang w:eastAsia="x-none"/>
              </w:rPr>
              <w:t>7</w:t>
            </w:r>
            <w:r>
              <w:rPr>
                <w:sz w:val="24"/>
                <w:szCs w:val="24"/>
                <w:lang w:eastAsia="x-none"/>
              </w:rPr>
              <w:t>.10.202</w:t>
            </w:r>
            <w:r>
              <w:rPr>
                <w:sz w:val="24"/>
                <w:szCs w:val="24"/>
                <w:lang w:eastAsia="x-none"/>
              </w:rPr>
              <w:t>6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Демонтаж декорационных элементов: 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  <w:lang w:eastAsia="x-none"/>
              </w:rPr>
              <w:t xml:space="preserve">1. </w:t>
            </w:r>
            <w:r>
              <w:rPr>
                <w:sz w:val="24"/>
                <w:szCs w:val="24"/>
              </w:rPr>
              <w:t xml:space="preserve">Площадка проведения пленарного заседания – не раньше  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left" w:pos="0" w:leader="none"/>
                <w:tab w:val="left" w:pos="179" w:leader="none"/>
                <w:tab w:val="left" w:pos="344" w:leader="none"/>
              </w:tabs>
              <w:spacing w:before="60" w:after="0"/>
              <w:ind w:left="0" w:hanging="0"/>
              <w:contextualSpacing/>
              <w:rPr/>
            </w:pPr>
            <w:r>
              <w:rPr>
                <w:lang w:eastAsia="x-none"/>
              </w:rPr>
              <w:t xml:space="preserve">Площадка для проведения секций – не раньше 15.00 </w:t>
            </w:r>
            <w:r>
              <w:rPr>
                <w:lang w:eastAsia="x-none"/>
              </w:rPr>
              <w:t>09</w:t>
            </w:r>
            <w:r>
              <w:rPr>
                <w:lang w:eastAsia="x-none"/>
              </w:rPr>
              <w:t>.10.202</w:t>
            </w:r>
            <w:r>
              <w:rPr>
                <w:lang w:eastAsia="x-none"/>
              </w:rPr>
              <w:t>6</w:t>
            </w:r>
          </w:p>
          <w:p>
            <w:pPr>
              <w:pStyle w:val="ListParagraph"/>
              <w:widowControl w:val="false"/>
              <w:tabs>
                <w:tab w:val="left" w:pos="0" w:leader="none"/>
              </w:tabs>
              <w:spacing w:before="60" w:after="0"/>
              <w:ind w:left="0" w:hanging="0"/>
              <w:contextualSpacing/>
              <w:rPr/>
            </w:pPr>
            <w:r>
              <w:rPr/>
              <w:t xml:space="preserve">Окончательный график проведения монтажа/ демонтажа согласовывается  отдельно с площадками проведения мероприятий.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52" w:name="_Toc142319989"/>
            <w:bookmarkStart w:id="53" w:name="_Toc142314403"/>
            <w:bookmarkStart w:id="54" w:name="_Toc141882508"/>
            <w:bookmarkEnd w:id="52"/>
            <w:bookmarkEnd w:id="53"/>
            <w:bookmarkEnd w:id="54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используемым материалам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Материалы, используемые для выполнения работ должны быть без повреждений, сколов, затертостей, царапин и пр. дефектов и строго соответствовать утвержденному дизайн-макету. Для баннеров на металлокаркасе, тритиксе допустима аренда мет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ллических конструкций. </w:t>
            </w:r>
            <w:r>
              <w:rPr>
                <w:sz w:val="24"/>
                <w:szCs w:val="24"/>
              </w:rPr>
              <w:t>Остальные конструкции по итогам выполнения работ остаются у Заказчика.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55" w:name="_Toc142319990"/>
            <w:bookmarkStart w:id="56" w:name="_Toc142314404"/>
            <w:bookmarkStart w:id="57" w:name="_Toc141882509"/>
            <w:bookmarkEnd w:id="55"/>
            <w:bookmarkEnd w:id="56"/>
            <w:bookmarkEnd w:id="57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предоставляемых дизайн-макетов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60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 началом выполнения работ Подрядчик должен согласовать итоговые дизайн-макеты с Заказчиком.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58" w:name="_Toc142319992"/>
            <w:bookmarkStart w:id="59" w:name="_Toc142314405"/>
            <w:bookmarkStart w:id="60" w:name="_Toc141882510"/>
            <w:bookmarkEnd w:id="58"/>
            <w:bookmarkEnd w:id="59"/>
            <w:bookmarkEnd w:id="60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материалов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отдельному запросу Заказчика (в случае необходимости) Подрядчик  перед началом выполнения должен предоставить цветопробу или образцы материалов для баннеров.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Персонал Подрядчика, привлекаемый к выполнению работ, должен иметь  профессиональное образование и опыт выполнения аналогичных работ не менее 3 лет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Подрядчик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 в т.ч. законодательство о пожарной безопасности, охране труда, а также все прочие законы и нормативные акты, относящиеся к сфере деятельности;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Style40"/>
              <w:keepNext w:val="false"/>
              <w:numPr>
                <w:ilvl w:val="0"/>
                <w:numId w:val="0"/>
              </w:numPr>
              <w:spacing w:before="60" w:after="60"/>
              <w:jc w:val="left"/>
              <w:outlineLvl w:val="2"/>
              <w:rPr>
                <w:rFonts w:eastAsia="Times New Roman"/>
                <w:b w:val="false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результату работ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Строгое соответствие согласованному Заказчиком дизайн-макету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</w:rPr>
            </w:pPr>
            <w:bookmarkStart w:id="61" w:name="_Toc142319993"/>
            <w:bookmarkStart w:id="62" w:name="_Toc142314406"/>
            <w:bookmarkStart w:id="63" w:name="_Toc141882511"/>
            <w:bookmarkEnd w:id="61"/>
            <w:bookmarkEnd w:id="62"/>
            <w:bookmarkEnd w:id="63"/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Style w:val="Style14"/>
                <w:i w:val="false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внешнему виду продукции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ind w:left="0" w:hanging="0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Не допускаются дефекты, приводящие к искажению или потере информации, а также приводящие к потере товарного вида или затрудняющие использование конструкций по назначению, в том числе, но не исключая: механические повреждения.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bookmarkStart w:id="64" w:name="_Toc142319999"/>
            <w:bookmarkStart w:id="65" w:name="_Toc142314408"/>
            <w:bookmarkStart w:id="66" w:name="_Toc141882513"/>
            <w:r>
              <w:rPr>
                <w:sz w:val="24"/>
                <w:szCs w:val="24"/>
              </w:rPr>
              <w:t>Согласие с требованием</w:t>
            </w:r>
            <w:bookmarkEnd w:id="64"/>
            <w:bookmarkEnd w:id="65"/>
            <w:bookmarkEnd w:id="66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Style40"/>
              <w:keepNext w:val="false"/>
              <w:numPr>
                <w:ilvl w:val="0"/>
                <w:numId w:val="0"/>
              </w:numPr>
              <w:spacing w:before="60" w:after="60"/>
              <w:jc w:val="left"/>
              <w:outlineLvl w:val="2"/>
              <w:rPr>
                <w:rFonts w:eastAsia="Times New Roman"/>
                <w:b w:val="false"/>
                <w:b w:val="false"/>
                <w:bCs/>
                <w:lang w:val="ru-RU" w:eastAsia="ru-RU"/>
              </w:rPr>
            </w:pPr>
            <w:r>
              <w:rPr>
                <w:rFonts w:eastAsia="Times New Roman"/>
                <w:b w:val="false"/>
                <w:bCs/>
                <w:lang w:val="ru-RU" w:eastAsia="ru-RU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>
              <w:rPr>
                <w:rStyle w:val="Style14"/>
                <w:b w:val="false"/>
                <w:bCs/>
                <w:i w:val="false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порядку приемки результатов работ при обнаружении брака или дефектов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обнаружении Заказчиком брака и/или дефектов, приводящих к потере товарного вида или затрудняющие использование продукции (п.2.2. Таблицы 4 Технических требований) </w:t>
            </w:r>
            <w:r>
              <w:rPr>
                <w:sz w:val="24"/>
                <w:szCs w:val="24"/>
              </w:rPr>
              <w:t xml:space="preserve">составляется акт-перечень подлежащих устранению недостатков, который передается Подрядчику лично или посредством электронной почты для устранения недостатков. При устранении недостатков должны быть соблюдены сроки организации работ (п.1.2.1 </w:t>
            </w:r>
            <w:r>
              <w:rPr>
                <w:color w:val="000000"/>
                <w:sz w:val="24"/>
                <w:szCs w:val="24"/>
              </w:rPr>
              <w:t>Таблицы 4 Технических требований)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архивации и хранению материалов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Подрядчик обеспечивает архивацию и хранение всех созданных макетов в виде, определенном Заказчиком, и предоставляет Заказчику по его требованию материалы в облачных сервисах не позднее чем через 24 часа после их создания, приобретения.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5750" w:type="dxa"/>
            <w:gridSpan w:val="2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Авторские и иные права</w:t>
            </w:r>
          </w:p>
        </w:tc>
        <w:tc>
          <w:tcPr>
            <w:tcW w:w="3735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ind w:left="0" w:hanging="0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В отношении любых разработанных материалов (включая использованные при создании) Подрядчик гарантирует: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что ни в целом, ни какие-либо их части, не будут нарушать права собственности, авторские, смежные, другие интеллектуальные, личные, гражданские, договорные и иные права третьих лиц и Заказчика, а также не нанесут ущерба чести, достоинству и деловой репутации; 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что материалы соответствуют положениям действующего законодательства в том числе, Закону о рекламе. </w:t>
            </w:r>
          </w:p>
          <w:p>
            <w:pPr>
              <w:pStyle w:val="ListParagraph"/>
              <w:ind w:left="0" w:hanging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Подрядчик в порядке, определенном условиями Договора, передает Заказчику права на объекты интеллектуальной собственности созданные в процессе или в результате оказания услуг.</w:t>
            </w:r>
          </w:p>
          <w:p>
            <w:pPr>
              <w:pStyle w:val="ListParagraph"/>
              <w:ind w:left="0" w:hanging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/>
              </w:rPr>
              <w:t>В целях оказания услуг Подрядчик при необходимости обеспечивает приобретение необходимых шрифтов, объектов в фотобанках (стоках) для Заказчика на условиях неисключительной лицензии.</w:t>
            </w:r>
          </w:p>
        </w:tc>
        <w:tc>
          <w:tcPr>
            <w:tcW w:w="266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90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56" w:type="dxa"/>
            <w:tcBorders/>
            <w:shd w:fill="auto" w:val="clear"/>
            <w:tcMar>
              <w:left w:w="88" w:type="dxa"/>
            </w:tcMar>
          </w:tcPr>
          <w:p>
            <w:pPr>
              <w:pStyle w:val="Style40"/>
              <w:keepNext w:val="false"/>
              <w:numPr>
                <w:ilvl w:val="0"/>
                <w:numId w:val="0"/>
              </w:numPr>
              <w:spacing w:before="60" w:after="60"/>
              <w:jc w:val="left"/>
              <w:outlineLvl w:val="2"/>
              <w:rPr>
                <w:rFonts w:eastAsia="Times New Roman"/>
                <w:b w:val="false"/>
                <w:b w:val="false"/>
                <w:bCs/>
                <w:lang w:val="ru-RU" w:eastAsia="ru-RU"/>
              </w:rPr>
            </w:pPr>
            <w:r>
              <w:rPr>
                <w:rFonts w:eastAsia="Times New Roman"/>
                <w:b w:val="false"/>
                <w:bCs/>
                <w:lang w:val="ru-RU" w:eastAsia="ru-RU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lang w:val="ru-RU"/>
        </w:rPr>
      </w:pPr>
      <w:bookmarkStart w:id="67" w:name="__RefHeading___Toc6192_1121047426"/>
      <w:bookmarkStart w:id="68" w:name="_Toc53393312"/>
      <w:bookmarkStart w:id="69" w:name="_Toc142545310"/>
      <w:bookmarkEnd w:id="67"/>
      <w:r>
        <w:rPr>
          <w:lang w:val="ru-RU"/>
        </w:rPr>
        <w:t>Требования к документации по ценообразованию</w:t>
      </w:r>
      <w:bookmarkEnd w:id="68"/>
      <w:bookmarkEnd w:id="69"/>
      <w:r>
        <w:rPr>
          <w:lang w:val="ru-RU"/>
        </w:rPr>
        <w:t xml:space="preserve"> на этапе закупки</w:t>
      </w:r>
    </w:p>
    <w:p>
      <w:pPr>
        <w:pStyle w:val="Normal"/>
        <w:numPr>
          <w:ilvl w:val="1"/>
          <w:numId w:val="5"/>
        </w:numPr>
        <w:spacing w:before="0" w:after="12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7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70"/>
      <w:r>
        <w:rPr>
          <w:bCs/>
          <w:iCs/>
          <w:sz w:val="24"/>
          <w:szCs w:val="24"/>
          <w:lang w:eastAsia="x-none"/>
        </w:rPr>
        <w:t xml:space="preserve">, приведенной в Документации о закупке. </w:t>
      </w:r>
      <w:r>
        <w:rPr>
          <w:sz w:val="24"/>
          <w:szCs w:val="24"/>
        </w:rPr>
        <w:t>В стоимость выполнения работ должны быть включены все затраты и расходные материалы, необходимые для выполнения работ согласно Техническим требованиям, любые другие сопутствующие расходы Исполнителя, все налоги, сборы и другие обязательные платежи.</w:t>
      </w:r>
    </w:p>
    <w:p>
      <w:pPr>
        <w:pStyle w:val="Normal"/>
        <w:numPr>
          <w:ilvl w:val="1"/>
          <w:numId w:val="5"/>
        </w:numPr>
        <w:spacing w:before="0" w:after="120"/>
        <w:ind w:left="567" w:hanging="567"/>
        <w:jc w:val="both"/>
        <w:rPr>
          <w:bCs/>
          <w:iCs/>
          <w:sz w:val="24"/>
          <w:szCs w:val="24"/>
          <w:lang w:eastAsia="x-none"/>
        </w:rPr>
      </w:pPr>
      <w:bookmarkStart w:id="71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71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lang w:val="ru-RU"/>
        </w:rPr>
      </w:pPr>
      <w:bookmarkStart w:id="72" w:name="__RefHeading___Toc6194_1121047426"/>
      <w:bookmarkStart w:id="73" w:name="_Toc142545311"/>
      <w:bookmarkEnd w:id="72"/>
      <w:bookmarkEnd w:id="73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widowControl w:val="false"/>
        <w:tabs>
          <w:tab w:val="left" w:pos="567" w:leader="none"/>
          <w:tab w:val="left" w:pos="70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случае победы Участника, величина предложенных им единичных расценок будет закреплена в Договоре.</w:t>
      </w:r>
    </w:p>
    <w:p>
      <w:pPr>
        <w:pStyle w:val="Normal"/>
        <w:widowControl w:val="false"/>
        <w:tabs>
          <w:tab w:val="left" w:pos="567" w:leader="none"/>
          <w:tab w:val="left" w:pos="70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договора является фиксированной на весь срок выполнения договора. </w:t>
      </w:r>
    </w:p>
    <w:p>
      <w:pPr>
        <w:pStyle w:val="1"/>
        <w:keepLines/>
        <w:numPr>
          <w:ilvl w:val="0"/>
          <w:numId w:val="0"/>
        </w:numPr>
        <w:ind w:left="357" w:right="0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rPr>
          <w:rFonts w:eastAsia="Calibri"/>
          <w:b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rStyle w:val="Style14"/>
          <w:b/>
          <w:b/>
          <w:i w:val="false"/>
          <w:i w:val="false"/>
          <w:iCs/>
          <w:caps/>
          <w:highlight w:val="white"/>
        </w:rPr>
      </w:pPr>
      <w:bookmarkStart w:id="74" w:name="__RefHeading___Toc6196_1121047426"/>
      <w:bookmarkStart w:id="75" w:name="_Toc51339699"/>
      <w:bookmarkStart w:id="76" w:name="_Toc46743519"/>
      <w:bookmarkStart w:id="77" w:name="_Toc142545312"/>
      <w:bookmarkEnd w:id="74"/>
      <w:bookmarkEnd w:id="75"/>
      <w:bookmarkEnd w:id="76"/>
      <w:bookmarkEnd w:id="77"/>
      <w:r>
        <w:rPr>
          <w:iCs/>
        </w:rPr>
        <w:t>Приложения</w:t>
      </w:r>
    </w:p>
    <w:p>
      <w:pPr>
        <w:pStyle w:val="Normal"/>
        <w:widowControl w:val="false"/>
        <w:tabs>
          <w:tab w:val="left" w:pos="426" w:leader="none"/>
        </w:tabs>
        <w:spacing w:before="60" w:after="0"/>
        <w:jc w:val="both"/>
        <w:rPr>
          <w:rStyle w:val="Style14"/>
          <w:b w:val="false"/>
          <w:b w:val="false"/>
          <w:bCs/>
          <w:iCs/>
          <w:sz w:val="24"/>
          <w:szCs w:val="24"/>
        </w:rPr>
      </w:pPr>
      <w:r>
        <w:rPr>
          <w:rStyle w:val="Style14"/>
          <w:b w:val="false"/>
          <w:bCs/>
          <w:iCs/>
          <w:sz w:val="24"/>
          <w:szCs w:val="24"/>
        </w:rPr>
        <w:t xml:space="preserve">Приложение №1: </w:t>
      </w:r>
    </w:p>
    <w:p>
      <w:pPr>
        <w:pStyle w:val="Normal"/>
        <w:jc w:val="center"/>
        <w:rPr/>
      </w:pPr>
      <w:r>
        <w:rPr>
          <w:rFonts w:eastAsia="Calibri"/>
          <w:b/>
          <w:color w:val="000000"/>
        </w:rPr>
        <w:t>Спецификация</w:t>
      </w:r>
    </w:p>
    <w:p>
      <w:pPr>
        <w:pStyle w:val="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tbl>
      <w:tblPr>
        <w:tblStyle w:val="af"/>
        <w:tblW w:w="9805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8"/>
        <w:gridCol w:w="2217"/>
        <w:gridCol w:w="3075"/>
        <w:gridCol w:w="1551"/>
        <w:gridCol w:w="2464"/>
      </w:tblGrid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Место размещения*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Баннер 6х2,5 м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Размер 6 000 мм х 2 500 мм, брус 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Лестница главного корпуса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Баннерные полотна на сцене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Вертикальные, размер полотен: 140 мм х 452 мм. (из них по 60 мм сверху и снизу карманы)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>Главный корпус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, Белый зал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Фотозона Прессволл /брендволл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Двусторонний, горизон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тальный </w:t>
            </w:r>
            <w:bookmarkStart w:id="78" w:name="__DdeLink__3380_632095645"/>
            <w:r>
              <w:rPr>
                <w:sz w:val="24"/>
                <w:szCs w:val="24"/>
              </w:rPr>
              <w:t>6 000 мм х 2 500 мм</w:t>
            </w:r>
            <w:bookmarkEnd w:id="78"/>
            <w:r>
              <w:rPr>
                <w:sz w:val="24"/>
                <w:szCs w:val="24"/>
              </w:rPr>
              <w:t xml:space="preserve">, глубина 500 мм, 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рус  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Холл для регистрации, НИК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2 х 3 м</w:t>
              <w:br/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Размер 2 000 мм  х 3000 мм, брус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Лекционные залы, НИК, </w:t>
            </w:r>
            <w:r>
              <w:rPr>
                <w:rFonts w:eastAsia="Calibri"/>
                <w:color w:val="000000"/>
                <w:sz w:val="24"/>
                <w:szCs w:val="24"/>
              </w:rPr>
              <w:t>ВНИИГ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 Up - </w:t>
            </w:r>
            <w:r>
              <w:rPr>
                <w:bCs/>
                <w:sz w:val="24"/>
                <w:szCs w:val="24"/>
              </w:rPr>
              <w:t>1 x 2 м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Стандартная модель на широких ножках, 1 000 мм х 2 000 мм 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Конференц-залы НИК 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 Up - </w:t>
            </w:r>
            <w:r>
              <w:rPr>
                <w:bCs/>
                <w:sz w:val="24"/>
                <w:szCs w:val="24"/>
              </w:rPr>
              <w:t>1.5 x 2 м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Стандартная модель, устойчивая конструкция, 1 500 мм х 2 000 мм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2+3+2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Главный корпус (1этаж), Конференц-залы НИК, Холл НИК 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Up -</w:t>
            </w:r>
            <w:r>
              <w:rPr>
                <w:bCs/>
                <w:sz w:val="24"/>
                <w:szCs w:val="24"/>
              </w:rPr>
              <w:t xml:space="preserve"> 2 x 2 м  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Стандартная модель, устойчивая конструкция, 2 000 мм х 2000 мм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1+1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Главный корпус, стойка регистрации, Холл НИК (у входа)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Up –(«пауки»)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Стандартная модель, 800 мм х 1800 мм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 НИК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Флаги-виндеры с флагштоком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БРИЗ высота 4,8 м, основа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ние под плитку 400 х 400 мм, алюминиевые секции, заглушка, сумка для тран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спортировки и хранения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 входа в Главный корпус и НИК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Указатели напольные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Стандартная модель, размер рамки – А4, высота не менее 100 см, металлический профиль, цвет хром блестящий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НИК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</w:t>
            </w:r>
          </w:p>
        </w:tc>
        <w:tc>
          <w:tcPr>
            <w:tcW w:w="307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 стенд. Материал каркаса — металл, материал информационного поля — пластик. Предварительный размер стенда 1450х100. Кармашки А4 — 6 шт, А3 - 4 шт. Брендирование</w:t>
            </w:r>
          </w:p>
        </w:tc>
        <w:tc>
          <w:tcPr>
            <w:tcW w:w="155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ВНИИГ</w:t>
            </w:r>
          </w:p>
        </w:tc>
      </w:tr>
      <w:tr>
        <w:trPr/>
        <w:tc>
          <w:tcPr>
            <w:tcW w:w="498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7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Флажки настольные</w:t>
            </w:r>
          </w:p>
        </w:tc>
        <w:tc>
          <w:tcPr>
            <w:tcW w:w="30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Шелк, печать односторон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</w:rPr>
              <w:t>няя, на изнанке зеркальное изображение, флагшток настольный белый</w:t>
            </w:r>
          </w:p>
        </w:tc>
        <w:tc>
          <w:tcPr>
            <w:tcW w:w="155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6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НИК</w:t>
            </w:r>
          </w:p>
        </w:tc>
      </w:tr>
    </w:tbl>
    <w:p>
      <w:pPr>
        <w:pStyle w:val="Normal"/>
        <w:spacing w:before="120" w:after="0"/>
        <w:jc w:val="left"/>
        <w:rPr>
          <w:b/>
          <w:b/>
          <w:color w:val="000000"/>
        </w:rPr>
      </w:pPr>
      <w:r>
        <w:rPr>
          <w:b/>
          <w:color w:val="000000"/>
        </w:rPr>
        <w:t>*</w:t>
      </w:r>
      <w:r>
        <w:rPr>
          <w:b w:val="false"/>
          <w:bCs w:val="false"/>
          <w:color w:val="000000"/>
          <w:sz w:val="24"/>
          <w:szCs w:val="24"/>
        </w:rPr>
        <w:t>Место размещения может быть скорректировано в зависимости от программы мероприятий</w:t>
      </w:r>
    </w:p>
    <w:p>
      <w:pPr>
        <w:pStyle w:val="Normal"/>
        <w:widowControl w:val="false"/>
        <w:tabs>
          <w:tab w:val="left" w:pos="426" w:leader="none"/>
        </w:tabs>
        <w:spacing w:before="60" w:after="0"/>
        <w:jc w:val="both"/>
        <w:rPr/>
      </w:pPr>
      <w:r>
        <w:rPr>
          <w:rStyle w:val="Style14"/>
          <w:b w:val="false"/>
          <w:bCs/>
          <w:iCs/>
          <w:sz w:val="24"/>
          <w:szCs w:val="24"/>
        </w:rPr>
        <w:t xml:space="preserve">Приложение №2: 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Руководство по применению фирменного стиля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АО «ВНИИГ им. Б.Е. Веденеева»*</w:t>
      </w:r>
    </w:p>
    <w:p>
      <w:pPr>
        <w:pStyle w:val="Normal"/>
        <w:spacing w:before="0" w:after="120"/>
        <w:jc w:val="center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120" w:after="0"/>
        <w:jc w:val="center"/>
        <w:rPr/>
      </w:pPr>
      <w:r>
        <w:rPr>
          <w:i/>
          <w:color w:val="000000"/>
          <w:sz w:val="24"/>
        </w:rPr>
        <w:t>*Приложение представлено отдельным файлом в формате .pdf</w:t>
      </w:r>
    </w:p>
    <w:sectPr>
      <w:headerReference w:type="default" r:id="rId6"/>
      <w:headerReference w:type="first" r:id="rId7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13</w:t>
    </w:r>
    <w: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75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4"/>
    <w:qFormat/>
    <w:rsid w:val="00ea61a8"/>
    <w:pPr>
      <w:numPr>
        <w:ilvl w:val="0"/>
        <w:numId w:val="0"/>
      </w:numPr>
      <w:ind w:left="432" w:hanging="0"/>
      <w:outlineLvl w:val="1"/>
    </w:pPr>
    <w:rPr/>
  </w:style>
  <w:style w:type="paragraph" w:styleId="3">
    <w:name w:val="Heading 3"/>
    <w:basedOn w:val="Normal"/>
    <w:link w:val="32"/>
    <w:autoRedefine/>
    <w:qFormat/>
    <w:rsid w:val="00035e96"/>
    <w:pPr>
      <w:keepNext w:val="true"/>
      <w:widowControl/>
      <w:bidi w:val="0"/>
      <w:spacing w:before="120" w:after="60"/>
      <w:ind w:left="0" w:right="0" w:hanging="0"/>
      <w:jc w:val="left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ind w:left="432" w:right="0" w:hanging="0"/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5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7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8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9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0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1" w:customStyle="1">
    <w:name w:val="Текст сноски Знак"/>
    <w:link w:val="a8"/>
    <w:uiPriority w:val="99"/>
    <w:qFormat/>
    <w:rsid w:val="00d22f6d"/>
    <w:rPr/>
  </w:style>
  <w:style w:type="character" w:styleId="Style12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3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4" w:customStyle="1">
    <w:name w:val="комментарий"/>
    <w:qFormat/>
    <w:rsid w:val="0025139e"/>
    <w:rPr>
      <w:i/>
      <w:shd w:fill="FFFF99" w:val="clear"/>
    </w:rPr>
  </w:style>
  <w:style w:type="character" w:styleId="Style15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6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7" w:customStyle="1">
    <w:name w:val="Текст примечания Знак"/>
    <w:link w:val="afb"/>
    <w:semiHidden/>
    <w:qFormat/>
    <w:rsid w:val="00dc0f7d"/>
    <w:rPr/>
  </w:style>
  <w:style w:type="character" w:styleId="Style18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Endnotereference">
    <w:name w:val="endnote reference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Fs10lh15" w:customStyle="1">
    <w:name w:val="fs10lh1-5"/>
    <w:basedOn w:val="DefaultParagraphFont"/>
    <w:qFormat/>
    <w:rsid w:val="00df6ee4"/>
    <w:rPr/>
  </w:style>
  <w:style w:type="character" w:styleId="Style19" w:customStyle="1">
    <w:name w:val="Основной текст_"/>
    <w:basedOn w:val="DefaultParagraphFont"/>
    <w:link w:val="2e"/>
    <w:qFormat/>
    <w:locked/>
    <w:rsid w:val="0082631b"/>
    <w:rPr>
      <w:spacing w:val="6"/>
      <w:shd w:fill="FFFFFF" w:val="clear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">
    <w:name w:val="ListLabel 3"/>
    <w:qFormat/>
    <w:rPr>
      <w:b/>
      <w:bCs/>
      <w:i w:val="false"/>
      <w:iCs/>
      <w:sz w:val="24"/>
      <w:szCs w:val="24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b w:val="false"/>
      <w:bCs w:val="false"/>
      <w:sz w:val="24"/>
      <w:szCs w:val="24"/>
    </w:rPr>
  </w:style>
  <w:style w:type="character" w:styleId="ListLabel7">
    <w:name w:val="ListLabel 7"/>
    <w:qFormat/>
    <w:rPr>
      <w:b/>
      <w:bCs/>
      <w:sz w:val="24"/>
      <w:szCs w:val="24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rFonts w:cs="Times New Roman"/>
      <w:color w:val="00000A"/>
      <w:sz w:val="22"/>
    </w:rPr>
  </w:style>
  <w:style w:type="character" w:styleId="ListLabel10">
    <w:name w:val="ListLabel 10"/>
    <w:qFormat/>
    <w:rPr>
      <w:rFonts w:cs="Times New Roman"/>
      <w:color w:val="00000A"/>
      <w:sz w:val="22"/>
    </w:rPr>
  </w:style>
  <w:style w:type="character" w:styleId="ListLabel11">
    <w:name w:val="ListLabel 11"/>
    <w:qFormat/>
    <w:rPr>
      <w:rFonts w:cs="Times New Roman"/>
      <w:color w:val="00000A"/>
      <w:sz w:val="22"/>
    </w:rPr>
  </w:style>
  <w:style w:type="character" w:styleId="ListLabel12">
    <w:name w:val="ListLabel 12"/>
    <w:qFormat/>
    <w:rPr>
      <w:rFonts w:cs="Times New Roman"/>
      <w:color w:val="00000A"/>
      <w:sz w:val="22"/>
    </w:rPr>
  </w:style>
  <w:style w:type="character" w:styleId="ListLabel13">
    <w:name w:val="ListLabel 1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4">
    <w:name w:val="ListLabel 14"/>
    <w:qFormat/>
    <w:rPr>
      <w:b/>
      <w:bCs/>
      <w:i w:val="false"/>
      <w:iCs/>
      <w:sz w:val="24"/>
      <w:szCs w:val="24"/>
    </w:rPr>
  </w:style>
  <w:style w:type="character" w:styleId="ListLabel15">
    <w:name w:val="ListLabel 15"/>
    <w:qFormat/>
    <w:rPr>
      <w:b w:val="false"/>
      <w:bCs w:val="false"/>
    </w:rPr>
  </w:style>
  <w:style w:type="character" w:styleId="ListLabel16">
    <w:name w:val="ListLabel 16"/>
    <w:qFormat/>
    <w:rPr>
      <w:rFonts w:eastAsia="Times New Roman" w:cs="Times New Roman"/>
      <w:i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</w:rPr>
  </w:style>
  <w:style w:type="character" w:styleId="Style20">
    <w:name w:val="Ссылка указателя"/>
    <w:qFormat/>
    <w:rPr/>
  </w:style>
  <w:style w:type="character" w:styleId="ListLabel38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39">
    <w:name w:val="ListLabel 39"/>
    <w:qFormat/>
    <w:rPr>
      <w:b/>
      <w:bCs/>
      <w:i w:val="false"/>
      <w:iCs/>
      <w:sz w:val="24"/>
      <w:szCs w:val="24"/>
    </w:rPr>
  </w:style>
  <w:style w:type="character" w:styleId="ListLabel40">
    <w:name w:val="ListLabel 4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41">
    <w:name w:val="ListLabel 41"/>
    <w:qFormat/>
    <w:rPr>
      <w:b/>
      <w:bCs/>
      <w:i w:val="false"/>
      <w:iCs/>
      <w:sz w:val="24"/>
      <w:szCs w:val="24"/>
    </w:rPr>
  </w:style>
  <w:style w:type="character" w:styleId="ListLabel42">
    <w:name w:val="ListLabel 42"/>
    <w:qFormat/>
    <w:rPr>
      <w:b w:val="false"/>
      <w:bCs w:val="false"/>
      <w:sz w:val="24"/>
      <w:szCs w:val="24"/>
    </w:rPr>
  </w:style>
  <w:style w:type="character" w:styleId="ListLabel43">
    <w:name w:val="ListLabel 43"/>
    <w:qFormat/>
    <w:rPr>
      <w:b/>
      <w:bCs/>
      <w:sz w:val="24"/>
      <w:szCs w:val="24"/>
    </w:rPr>
  </w:style>
  <w:style w:type="character" w:styleId="ListLabel44">
    <w:name w:val="ListLabel 44"/>
    <w:qFormat/>
    <w:rPr>
      <w:sz w:val="24"/>
      <w:szCs w:val="24"/>
    </w:rPr>
  </w:style>
  <w:style w:type="character" w:styleId="ListLabel45">
    <w:name w:val="ListLabel 45"/>
    <w:qFormat/>
    <w:rPr>
      <w:b w:val="false"/>
      <w:bCs w:val="false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eastAsia="Times New Roman"/>
    </w:rPr>
  </w:style>
  <w:style w:type="character" w:styleId="ListLabel55">
    <w:name w:val="ListLabel 5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56">
    <w:name w:val="ListLabel 56"/>
    <w:qFormat/>
    <w:rPr>
      <w:b/>
      <w:bCs/>
      <w:i w:val="false"/>
      <w:iCs/>
      <w:sz w:val="24"/>
      <w:szCs w:val="24"/>
    </w:rPr>
  </w:style>
  <w:style w:type="character" w:styleId="ListLabel57">
    <w:name w:val="ListLabel 5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58">
    <w:name w:val="ListLabel 58"/>
    <w:qFormat/>
    <w:rPr>
      <w:b/>
      <w:bCs/>
      <w:i w:val="false"/>
      <w:iCs/>
      <w:sz w:val="24"/>
      <w:szCs w:val="24"/>
    </w:rPr>
  </w:style>
  <w:style w:type="character" w:styleId="ListLabel59">
    <w:name w:val="ListLabel 59"/>
    <w:qFormat/>
    <w:rPr>
      <w:b w:val="false"/>
      <w:bCs w:val="false"/>
      <w:sz w:val="24"/>
      <w:szCs w:val="24"/>
    </w:rPr>
  </w:style>
  <w:style w:type="character" w:styleId="ListLabel60">
    <w:name w:val="ListLabel 60"/>
    <w:qFormat/>
    <w:rPr>
      <w:b/>
      <w:bCs/>
      <w:sz w:val="24"/>
      <w:szCs w:val="24"/>
    </w:rPr>
  </w:style>
  <w:style w:type="character" w:styleId="ListLabel61">
    <w:name w:val="ListLabel 61"/>
    <w:qFormat/>
    <w:rPr>
      <w:sz w:val="24"/>
      <w:szCs w:val="24"/>
    </w:rPr>
  </w:style>
  <w:style w:type="character" w:styleId="ListLabel62">
    <w:name w:val="ListLabel 62"/>
    <w:qFormat/>
    <w:rPr>
      <w:b w:val="false"/>
      <w:bCs w:val="false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rFonts w:eastAsia="Times New Roman"/>
    </w:rPr>
  </w:style>
  <w:style w:type="character" w:styleId="ListLabel65">
    <w:name w:val="ListLabel 65"/>
    <w:qFormat/>
    <w:rPr>
      <w:rFonts w:eastAsia="Times New Roman"/>
    </w:rPr>
  </w:style>
  <w:style w:type="character" w:styleId="ListLabel66">
    <w:name w:val="ListLabel 66"/>
    <w:qFormat/>
    <w:rPr>
      <w:rFonts w:eastAsia="Times New Roman"/>
    </w:rPr>
  </w:style>
  <w:style w:type="character" w:styleId="ListLabel67">
    <w:name w:val="ListLabel 67"/>
    <w:qFormat/>
    <w:rPr>
      <w:rFonts w:eastAsia="Times New Roman"/>
    </w:rPr>
  </w:style>
  <w:style w:type="character" w:styleId="ListLabel68">
    <w:name w:val="ListLabel 68"/>
    <w:qFormat/>
    <w:rPr>
      <w:rFonts w:eastAsia="Times New Roman"/>
    </w:rPr>
  </w:style>
  <w:style w:type="character" w:styleId="ListLabel69">
    <w:name w:val="ListLabel 69"/>
    <w:qFormat/>
    <w:rPr>
      <w:rFonts w:eastAsia="Times New Roman"/>
    </w:rPr>
  </w:style>
  <w:style w:type="character" w:styleId="ListLabel70">
    <w:name w:val="ListLabel 70"/>
    <w:qFormat/>
    <w:rPr>
      <w:rFonts w:eastAsia="Times New Roman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73">
    <w:name w:val="ListLabel 73"/>
    <w:qFormat/>
    <w:rPr>
      <w:b/>
      <w:bCs/>
      <w:i w:val="false"/>
      <w:iCs/>
      <w:sz w:val="24"/>
      <w:szCs w:val="24"/>
    </w:rPr>
  </w:style>
  <w:style w:type="character" w:styleId="ListLabel74">
    <w:name w:val="ListLabel 7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5">
    <w:name w:val="ListLabel 75"/>
    <w:qFormat/>
    <w:rPr>
      <w:b/>
      <w:bCs/>
      <w:i w:val="false"/>
      <w:iCs/>
      <w:sz w:val="24"/>
      <w:szCs w:val="24"/>
    </w:rPr>
  </w:style>
  <w:style w:type="character" w:styleId="ListLabel76">
    <w:name w:val="ListLabel 76"/>
    <w:qFormat/>
    <w:rPr>
      <w:b w:val="false"/>
      <w:bCs w:val="false"/>
      <w:sz w:val="24"/>
      <w:szCs w:val="24"/>
    </w:rPr>
  </w:style>
  <w:style w:type="character" w:styleId="ListLabel77">
    <w:name w:val="ListLabel 77"/>
    <w:qFormat/>
    <w:rPr>
      <w:b/>
      <w:bCs/>
      <w:sz w:val="24"/>
      <w:szCs w:val="24"/>
    </w:rPr>
  </w:style>
  <w:style w:type="character" w:styleId="ListLabel78">
    <w:name w:val="ListLabel 78"/>
    <w:qFormat/>
    <w:rPr>
      <w:sz w:val="24"/>
      <w:szCs w:val="24"/>
    </w:rPr>
  </w:style>
  <w:style w:type="character" w:styleId="ListLabel79">
    <w:name w:val="ListLabel 79"/>
    <w:qFormat/>
    <w:rPr>
      <w:b w:val="false"/>
      <w:bCs w:val="false"/>
    </w:rPr>
  </w:style>
  <w:style w:type="character" w:styleId="ListLabel80">
    <w:name w:val="ListLabel 80"/>
    <w:qFormat/>
    <w:rPr>
      <w:rFonts w:eastAsia="Times New Roman"/>
    </w:rPr>
  </w:style>
  <w:style w:type="character" w:styleId="ListLabel81">
    <w:name w:val="ListLabel 81"/>
    <w:qFormat/>
    <w:rPr>
      <w:rFonts w:eastAsia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eastAsia="Times New Roman"/>
    </w:rPr>
  </w:style>
  <w:style w:type="character" w:styleId="ListLabel85">
    <w:name w:val="ListLabel 85"/>
    <w:qFormat/>
    <w:rPr>
      <w:rFonts w:eastAsia="Times New Roman"/>
    </w:rPr>
  </w:style>
  <w:style w:type="character" w:styleId="ListLabel86">
    <w:name w:val="ListLabel 86"/>
    <w:qFormat/>
    <w:rPr>
      <w:rFonts w:eastAsia="Times New Roman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rFonts w:eastAsia="Times New Roman"/>
    </w:rPr>
  </w:style>
  <w:style w:type="character" w:styleId="Style21">
    <w:name w:val="Символ нумерации"/>
    <w:qFormat/>
    <w:rPr/>
  </w:style>
  <w:style w:type="character" w:styleId="ListLabel89">
    <w:name w:val="ListLabel 89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90">
    <w:name w:val="ListLabel 90"/>
    <w:qFormat/>
    <w:rPr>
      <w:b/>
      <w:bCs/>
      <w:i w:val="false"/>
      <w:iCs/>
      <w:sz w:val="24"/>
      <w:szCs w:val="24"/>
    </w:rPr>
  </w:style>
  <w:style w:type="character" w:styleId="ListLabel91">
    <w:name w:val="ListLabel 9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92">
    <w:name w:val="ListLabel 92"/>
    <w:qFormat/>
    <w:rPr>
      <w:b/>
      <w:bCs/>
      <w:i w:val="false"/>
      <w:iCs/>
      <w:sz w:val="24"/>
      <w:szCs w:val="24"/>
    </w:rPr>
  </w:style>
  <w:style w:type="character" w:styleId="ListLabel93">
    <w:name w:val="ListLabel 93"/>
    <w:qFormat/>
    <w:rPr>
      <w:b w:val="false"/>
      <w:bCs w:val="false"/>
      <w:sz w:val="24"/>
      <w:szCs w:val="24"/>
    </w:rPr>
  </w:style>
  <w:style w:type="character" w:styleId="ListLabel94">
    <w:name w:val="ListLabel 94"/>
    <w:qFormat/>
    <w:rPr>
      <w:b/>
      <w:bCs/>
      <w:sz w:val="24"/>
      <w:szCs w:val="24"/>
    </w:rPr>
  </w:style>
  <w:style w:type="character" w:styleId="ListLabel95">
    <w:name w:val="ListLabel 95"/>
    <w:qFormat/>
    <w:rPr>
      <w:sz w:val="24"/>
      <w:szCs w:val="24"/>
    </w:rPr>
  </w:style>
  <w:style w:type="character" w:styleId="ListLabel96">
    <w:name w:val="ListLabel 96"/>
    <w:qFormat/>
    <w:rPr>
      <w:b w:val="false"/>
      <w:bCs w:val="false"/>
    </w:rPr>
  </w:style>
  <w:style w:type="character" w:styleId="ListLabel97">
    <w:name w:val="ListLabel 97"/>
    <w:qFormat/>
    <w:rPr>
      <w:rFonts w:eastAsia="Times New Roman"/>
    </w:rPr>
  </w:style>
  <w:style w:type="character" w:styleId="ListLabel98">
    <w:name w:val="ListLabel 98"/>
    <w:qFormat/>
    <w:rPr>
      <w:rFonts w:eastAsia="Times New Roman"/>
    </w:rPr>
  </w:style>
  <w:style w:type="character" w:styleId="ListLabel99">
    <w:name w:val="ListLabel 99"/>
    <w:qFormat/>
    <w:rPr>
      <w:rFonts w:eastAsia="Times New Roman"/>
    </w:rPr>
  </w:style>
  <w:style w:type="character" w:styleId="ListLabel100">
    <w:name w:val="ListLabel 100"/>
    <w:qFormat/>
    <w:rPr>
      <w:rFonts w:eastAsia="Times New Roman"/>
    </w:rPr>
  </w:style>
  <w:style w:type="character" w:styleId="ListLabel101">
    <w:name w:val="ListLabel 101"/>
    <w:qFormat/>
    <w:rPr>
      <w:rFonts w:eastAsia="Times New Roman"/>
    </w:rPr>
  </w:style>
  <w:style w:type="character" w:styleId="ListLabel102">
    <w:name w:val="ListLabel 102"/>
    <w:qFormat/>
    <w:rPr>
      <w:rFonts w:eastAsia="Times New Roman"/>
    </w:rPr>
  </w:style>
  <w:style w:type="character" w:styleId="ListLabel103">
    <w:name w:val="ListLabel 103"/>
    <w:qFormat/>
    <w:rPr>
      <w:rFonts w:eastAsia="Times New Roman"/>
    </w:rPr>
  </w:style>
  <w:style w:type="character" w:styleId="ListLabel104">
    <w:name w:val="ListLabel 104"/>
    <w:qFormat/>
    <w:rPr>
      <w:rFonts w:eastAsia="Times New Roman"/>
    </w:rPr>
  </w:style>
  <w:style w:type="character" w:styleId="ListLabel105">
    <w:name w:val="ListLabel 105"/>
    <w:qFormat/>
    <w:rPr>
      <w:rFonts w:eastAsia="Times New Roman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3">
    <w:name w:val="Body Text"/>
    <w:basedOn w:val="Normal"/>
    <w:link w:val="af2"/>
    <w:rsid w:val="0076353a"/>
    <w:pPr>
      <w:spacing w:before="0" w:after="12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a9"/>
    <w:uiPriority w:val="99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0">
    <w:name w:val="Header"/>
    <w:basedOn w:val="Normal"/>
    <w:link w:val="ad"/>
    <w:rsid w:val="0076353a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1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2">
    <w:name w:val="Footer"/>
    <w:basedOn w:val="Normal"/>
    <w:rsid w:val="0076353a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3" w:customStyle="1">
    <w:name w:val="Подпункт"/>
    <w:basedOn w:val="Normal"/>
    <w:link w:val="15"/>
    <w:qFormat/>
    <w:rsid w:val="0076353a"/>
    <w:pPr>
      <w:tabs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4" w:customStyle="1">
    <w:name w:val="Раздел регламента"/>
    <w:basedOn w:val="Normal"/>
    <w:qFormat/>
    <w:rsid w:val="00e228fa"/>
    <w:pPr/>
    <w:rPr/>
  </w:style>
  <w:style w:type="paragraph" w:styleId="Style3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37">
    <w:name w:val="Subtitle"/>
    <w:basedOn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  <w:ind w:left="0" w:right="0" w:hanging="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9" w:customStyle="1">
    <w:name w:val="Пункт"/>
    <w:basedOn w:val="Normal"/>
    <w:qFormat/>
    <w:rsid w:val="00d22f6d"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2" w:customStyle="1">
    <w:name w:val="Подподпункт"/>
    <w:basedOn w:val="Style33"/>
    <w:link w:val="afff8"/>
    <w:qFormat/>
    <w:rsid w:val="0025139e"/>
    <w:pPr>
      <w:tabs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4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9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5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afffa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4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1" w:customStyle="1">
    <w:name w:val="Основной текст2"/>
    <w:basedOn w:val="Normal"/>
    <w:link w:val="afffe"/>
    <w:qFormat/>
    <w:rsid w:val="0082631b"/>
    <w:pPr>
      <w:widowControl w:val="false"/>
      <w:shd w:val="clear" w:color="auto" w:fill="FFFFFF"/>
      <w:spacing w:lineRule="auto" w:line="240" w:before="60" w:after="420"/>
      <w:ind w:hanging="300"/>
      <w:jc w:val="both"/>
    </w:pPr>
    <w:rPr>
      <w:spacing w:val="6"/>
      <w:sz w:val="20"/>
      <w:szCs w:val="20"/>
    </w:rPr>
  </w:style>
  <w:style w:type="paragraph" w:styleId="Style47">
    <w:name w:val="Содержимое таблицы"/>
    <w:basedOn w:val="Normal"/>
    <w:qFormat/>
    <w:pPr/>
    <w:rPr/>
  </w:style>
  <w:style w:type="paragraph" w:styleId="Style48">
    <w:name w:val="Заголовок таблицы"/>
    <w:basedOn w:val="Style47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59"/>
    <w:rsid w:val="0076353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5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B42C-7B9D-43DA-8AF3-7DFDD79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LibreOffice/5.3.6.1$Linux_X86_64 LibreOffice_project/30$Build-1</Application>
  <Pages>13</Pages>
  <Words>1668</Words>
  <Characters>10856</Characters>
  <CharactersWithSpaces>12263</CharactersWithSpaces>
  <Paragraphs>315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2024-07-03T05:51:00Z</dcterms:created>
  <dc:creator>Быстров Олег Геннадьевич</dc:creator>
  <dc:description/>
  <dc:language>ru-RU</dc:language>
  <cp:lastModifiedBy/>
  <cp:lastPrinted>2024-07-03T10:28:00Z</cp:lastPrinted>
  <dcterms:modified xsi:type="dcterms:W3CDTF">2026-06-09T15:10:23Z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