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9921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664"/>
        <w:gridCol w:w="723"/>
        <w:gridCol w:w="4534"/>
      </w:tblGrid>
      <w:tr>
        <w:trPr/>
        <w:tc>
          <w:tcPr>
            <w:tcW w:w="466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2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6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6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Начальник  управления обслуживания объектов</w:t>
            </w:r>
          </w:p>
        </w:tc>
      </w:tr>
      <w:tr>
        <w:trPr/>
        <w:tc>
          <w:tcPr>
            <w:tcW w:w="466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2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6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2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6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      » июнь 2026 года</w:t>
            </w:r>
          </w:p>
        </w:tc>
        <w:tc>
          <w:tcPr>
            <w:tcW w:w="723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bidi w:val="0"/>
              <w:spacing w:before="0" w:after="0"/>
              <w:jc w:val="en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      » июнь 2026 года</w:t>
            </w:r>
          </w:p>
        </w:tc>
      </w:tr>
    </w:tbl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suppressAutoHyphens w:val="true"/>
        <w:bidi w:val="0"/>
        <w:ind w:start="360" w:hanging="0"/>
        <w:jc w:val="start"/>
        <w:rPr>
          <w:rFonts w:ascii="Times New Roman" w:hAnsi="Times New Roman"/>
          <w:b/>
          <w:highlight w:val="yellow"/>
          <w:lang w:eastAsia="ar-SA"/>
        </w:rPr>
      </w:pPr>
      <w:r>
        <w:rPr>
          <w:rFonts w:ascii="Times New Roman" w:hAnsi="Times New Roman"/>
          <w:b/>
          <w:highlight w:val="yellow"/>
          <w:lang w:eastAsia="ar-SA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Calibri" w:ascii="Times New Roman" w:hAnsi="Times New Roman"/>
          <w:b/>
          <w:bCs/>
        </w:rPr>
        <w:t>Технические требования на оказание услуг</w:t>
      </w:r>
    </w:p>
    <w:p>
      <w:pPr>
        <w:pStyle w:val="Normal"/>
        <w:bidi w:val="0"/>
        <w:jc w:val="start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jc w:val="center"/>
        <w:rPr/>
      </w:pPr>
      <w:r>
        <w:rPr>
          <w:rFonts w:eastAsia="Calibri" w:ascii="Times New Roman" w:hAnsi="Times New Roman"/>
          <w:b/>
          <w:bCs/>
          <w:sz w:val="24"/>
          <w:szCs w:val="24"/>
        </w:rPr>
        <w:t>ОКПД2 37.00.12.110 Оказание услуг по обслуживанию биотуалетов на территории филиала ПАО «РусГидро»-«Жигулевская ГЭС»</w:t>
      </w:r>
    </w:p>
    <w:p>
      <w:pPr>
        <w:pStyle w:val="Normal"/>
        <w:bidi w:val="0"/>
        <w:jc w:val="center"/>
        <w:rPr>
          <w:rFonts w:ascii="Times New Roman" w:hAnsi="Times New Roman" w:eastAsia="Calibri"/>
          <w:b/>
          <w:bCs/>
        </w:rPr>
      </w:pPr>
      <w:r>
        <w:rPr>
          <w:rFonts w:eastAsia="Calibri" w:ascii="Times New Roman" w:hAnsi="Times New Roman"/>
          <w:b/>
          <w:bCs/>
        </w:rPr>
      </w:r>
    </w:p>
    <w:p>
      <w:pPr>
        <w:pStyle w:val="Normal"/>
        <w:keepNext w:val="true"/>
        <w:keepLines/>
        <w:bidi w:val="0"/>
        <w:jc w:val="center"/>
        <w:rPr>
          <w:rFonts w:ascii="Times New Roman" w:hAnsi="Times New Roman" w:eastAsia="Calibri" w:cs="Lucida Sans"/>
          <w:b/>
          <w:bCs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Calibri" w:cs="Lucida Sans" w:ascii="Times New Roman" w:hAnsi="Times New Roman"/>
          <w:b/>
          <w:bCs/>
          <w:color w:val="auto"/>
          <w:kern w:val="2"/>
          <w:sz w:val="24"/>
          <w:szCs w:val="24"/>
          <w:lang w:val="ru-RU" w:eastAsia="zh-CN" w:bidi="hi-IN"/>
        </w:rPr>
        <w:t xml:space="preserve">Лот № </w:t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start="0" w:hanging="0"/>
        <w:jc w:val="center"/>
        <w:outlineLvl w:val="0"/>
        <w:rPr/>
      </w:pPr>
      <w:r>
        <w:rPr>
          <w:rFonts w:eastAsia="Calibri" w:ascii="Times New Roman" w:hAnsi="Times New Roman"/>
          <w:b/>
          <w:bCs/>
          <w:lang w:val="x-none" w:eastAsia="x-none"/>
        </w:rPr>
        <w:t>1. Общие сведения</w:t>
      </w:r>
    </w:p>
    <w:p>
      <w:pPr>
        <w:pStyle w:val="Normal"/>
        <w:keepNext w:val="true"/>
        <w:numPr>
          <w:ilvl w:val="0"/>
          <w:numId w:val="0"/>
        </w:numPr>
        <w:bidi w:val="0"/>
        <w:ind w:start="0" w:hanging="0"/>
        <w:jc w:val="start"/>
        <w:outlineLvl w:val="3"/>
        <w:rPr/>
      </w:pPr>
      <w:r>
        <w:rPr>
          <w:rFonts w:eastAsia="Calibri" w:ascii="Times New Roman" w:hAnsi="Times New Roman"/>
          <w:b/>
          <w:bCs/>
          <w:sz w:val="24"/>
          <w:szCs w:val="24"/>
          <w:lang w:val="x-none" w:eastAsia="x-none"/>
        </w:rPr>
        <w:t>1.1. 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964"/>
        <w:gridCol w:w="5818"/>
      </w:tblGrid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Технические требования (ТТ)</w:t>
            </w:r>
          </w:p>
        </w:tc>
        <w:tc>
          <w:tcPr>
            <w:tcW w:w="5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Заказчик</w:t>
            </w:r>
          </w:p>
        </w:tc>
        <w:tc>
          <w:tcPr>
            <w:tcW w:w="5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АО «СК РусГидро»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Филиал</w:t>
            </w:r>
          </w:p>
        </w:tc>
        <w:tc>
          <w:tcPr>
            <w:tcW w:w="5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филиал ПАО «РусГидро»-«Жигулевская ГЭС»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/>
            </w:pPr>
            <w:r>
              <w:rPr>
                <w:rFonts w:eastAsia="Calibri" w:ascii="Times New Roman" w:hAnsi="Times New Roman"/>
                <w:sz w:val="20"/>
                <w:szCs w:val="20"/>
              </w:rPr>
              <w:t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      </w:r>
          </w:p>
        </w:tc>
      </w:tr>
    </w:tbl>
    <w:p>
      <w:pPr>
        <w:pStyle w:val="Normal"/>
        <w:keepNext w:val="true"/>
        <w:keepLines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bidi w:val="0"/>
        <w:spacing w:before="0" w:after="0"/>
        <w:contextualSpacing w:val="false"/>
        <w:jc w:val="both"/>
        <w:rPr/>
      </w:pPr>
      <w:r>
        <w:rPr>
          <w:rFonts w:ascii="Times New Roman" w:hAnsi="Times New Roman"/>
          <w:b/>
          <w:bCs/>
        </w:rPr>
        <w:t xml:space="preserve">1.2 </w:t>
      </w:r>
      <w:bookmarkStart w:id="0" w:name="_Toc46743506"/>
      <w:bookmarkStart w:id="1" w:name="_Toc54643696"/>
      <w:r>
        <w:rPr>
          <w:rFonts w:ascii="Times New Roman" w:hAnsi="Times New Roman"/>
          <w:b/>
          <w:bCs/>
        </w:rPr>
        <w:t>Наименование закупаемой продукции</w:t>
      </w:r>
      <w:bookmarkEnd w:id="0"/>
      <w:bookmarkEnd w:id="1"/>
      <w:r>
        <w:rPr>
          <w:rFonts w:ascii="Times New Roman" w:hAnsi="Times New Roman"/>
          <w:b/>
          <w:bCs/>
        </w:rPr>
        <w:t>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0" w:after="0"/>
        <w:ind w:start="0" w:end="0" w:firstLine="850"/>
        <w:jc w:val="both"/>
        <w:rPr>
          <w:rFonts w:ascii="Times New Roman" w:hAnsi="Times New Roman" w:eastAsia="Calibri" w:cs="Lucida Sans"/>
          <w:iCs/>
          <w:color w:val="auto"/>
          <w:kern w:val="2"/>
          <w:sz w:val="24"/>
          <w:szCs w:val="24"/>
          <w:lang w:val="ru-RU" w:eastAsia="zh-CN" w:bidi="hi-IN"/>
        </w:rPr>
      </w:pPr>
      <w:r>
        <w:rPr>
          <w:rFonts w:eastAsia="Calibri" w:cs="Lucida Sans" w:ascii="Times New Roman" w:hAnsi="Times New Roman"/>
          <w:iCs/>
          <w:color w:val="auto"/>
          <w:kern w:val="2"/>
          <w:sz w:val="24"/>
          <w:szCs w:val="24"/>
          <w:lang w:val="ru-RU" w:eastAsia="zh-CN" w:bidi="hi-IN"/>
        </w:rPr>
        <w:t>ОКПД2 37.00.12.110 Оказание услуг по обслуживанию биотуалетов на территории филиала ПАО «РусГидро»-«Жигулевская ГЭС».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0" w:after="0"/>
        <w:jc w:val="both"/>
        <w:rPr>
          <w:rFonts w:ascii="Times New Roman" w:hAnsi="Times New Roman"/>
          <w:b w:val="false"/>
          <w:bCs/>
          <w:sz w:val="24"/>
          <w:szCs w:val="24"/>
        </w:rPr>
      </w:pPr>
      <w:r>
        <w:rPr>
          <w:rFonts w:ascii="Times New Roman" w:hAnsi="Times New Roman"/>
          <w:b w:val="false"/>
          <w:bCs/>
          <w:sz w:val="24"/>
          <w:szCs w:val="24"/>
        </w:rPr>
      </w:r>
    </w:p>
    <w:p>
      <w:pPr>
        <w:pStyle w:val="ListParagraph"/>
        <w:bidi w:val="0"/>
        <w:spacing w:before="0" w:after="0"/>
        <w:contextualSpacing w:val="false"/>
        <w:jc w:val="start"/>
        <w:rPr/>
      </w:pPr>
      <w:r>
        <w:rPr>
          <w:rFonts w:ascii="Times New Roman" w:hAnsi="Times New Roman"/>
          <w:b/>
          <w:bCs/>
        </w:rPr>
        <w:t xml:space="preserve">1.3 </w:t>
      </w:r>
      <w:bookmarkStart w:id="2" w:name="_Toc54643697"/>
      <w:bookmarkStart w:id="3" w:name="_Toc46743507"/>
      <w:r>
        <w:rPr>
          <w:rFonts w:ascii="Times New Roman" w:hAnsi="Times New Roman"/>
          <w:b/>
          <w:bCs/>
        </w:rPr>
        <w:t xml:space="preserve">Цель </w:t>
      </w:r>
      <w:bookmarkEnd w:id="3"/>
      <w:r>
        <w:rPr>
          <w:rFonts w:ascii="Times New Roman" w:hAnsi="Times New Roman"/>
          <w:b/>
          <w:bCs/>
        </w:rPr>
        <w:t>оказания услуг</w:t>
      </w:r>
      <w:bookmarkEnd w:id="2"/>
      <w:r>
        <w:rPr>
          <w:rFonts w:ascii="Times New Roman" w:hAnsi="Times New Roman"/>
          <w:b/>
          <w:bCs/>
        </w:rPr>
        <w:t>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0" w:after="0"/>
        <w:ind w:start="0" w:end="0" w:firstLine="850"/>
        <w:jc w:val="both"/>
        <w:rPr/>
      </w:pPr>
      <w:r>
        <w:rPr>
          <w:rFonts w:eastAsia="Calibri" w:ascii="Times New Roman" w:hAnsi="Times New Roman"/>
          <w:iCs/>
          <w:sz w:val="24"/>
          <w:szCs w:val="24"/>
        </w:rPr>
        <w:t>В целях исполнения доходного договора, заключенного между АО «СК РусГидро» и филиалом ПАО «РусГидро» - «Жигулевская ГЭС».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-57" w:end="0" w:firstLine="907"/>
        <w:contextualSpacing w:val="false"/>
        <w:jc w:val="both"/>
        <w:rPr/>
      </w:pPr>
      <w:r>
        <w:rPr>
          <w:rFonts w:eastAsia="Calibri" w:ascii="Times New Roman" w:hAnsi="Times New Roman"/>
          <w:iCs/>
          <w:sz w:val="24"/>
          <w:szCs w:val="24"/>
          <w:lang w:eastAsia="x-none"/>
        </w:rPr>
        <w:t>Целью оказания Услуг является поддержание надлежащего санитарного состояния объектов и территорий Филиала, его производственных и социальных процессов и потребностей в соответствии с требованиями нормативной документации.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bidi w:val="0"/>
        <w:spacing w:before="0" w:after="0"/>
        <w:ind w:start="0" w:end="0" w:firstLine="850"/>
        <w:jc w:val="both"/>
        <w:rPr>
          <w:rFonts w:ascii="Times New Roman" w:hAnsi="Times New Roman" w:eastAsia="Calibri"/>
          <w:iCs/>
          <w:sz w:val="24"/>
          <w:szCs w:val="24"/>
        </w:rPr>
      </w:pPr>
      <w:r>
        <w:rPr>
          <w:rFonts w:eastAsia="Calibri" w:ascii="Times New Roman" w:hAnsi="Times New Roman"/>
          <w:iCs/>
          <w:sz w:val="24"/>
          <w:szCs w:val="24"/>
        </w:rPr>
      </w:r>
    </w:p>
    <w:p>
      <w:pPr>
        <w:pStyle w:val="ListParagraph"/>
        <w:bidi w:val="0"/>
        <w:spacing w:before="0" w:after="0"/>
        <w:contextualSpacing w:val="false"/>
        <w:jc w:val="start"/>
        <w:rPr/>
      </w:pPr>
      <w:r>
        <w:rPr>
          <w:rFonts w:ascii="Times New Roman" w:hAnsi="Times New Roman"/>
          <w:b/>
          <w:bCs/>
        </w:rPr>
        <w:t xml:space="preserve">1.4 </w:t>
      </w:r>
      <w:bookmarkStart w:id="4" w:name="_Toc46743508"/>
      <w:bookmarkStart w:id="5" w:name="_Toc54643698"/>
      <w:r>
        <w:rPr>
          <w:rFonts w:ascii="Times New Roman" w:hAnsi="Times New Roman"/>
          <w:b/>
          <w:bCs/>
        </w:rPr>
        <w:t>Существующее положение</w:t>
      </w:r>
      <w:bookmarkEnd w:id="4"/>
      <w:bookmarkEnd w:id="5"/>
      <w:r>
        <w:rPr>
          <w:rFonts w:ascii="Times New Roman" w:hAnsi="Times New Roman"/>
          <w:b/>
          <w:bCs/>
        </w:rPr>
        <w:t>.</w:t>
      </w:r>
    </w:p>
    <w:p>
      <w:pPr>
        <w:pStyle w:val="Normal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start="0" w:end="0" w:firstLine="850"/>
        <w:jc w:val="both"/>
        <w:rPr/>
      </w:pPr>
      <w:r>
        <w:rPr>
          <w:rFonts w:eastAsia="Calibri" w:cs="Lucida Sans" w:ascii="Times New Roman" w:hAnsi="Times New Roman"/>
          <w:iCs/>
          <w:color w:val="auto"/>
          <w:kern w:val="2"/>
          <w:sz w:val="24"/>
          <w:szCs w:val="24"/>
          <w:lang w:val="ru-RU" w:eastAsia="zh-CN" w:bidi="hi-IN"/>
        </w:rPr>
        <w:t>Услуги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оказываются на действующем энергетическом объекте при работе гидросилового оборудования со вращающимися частями и электрического оборудования, находящегося под высоким напряжением ( в условиях высокой заставленности).</w:t>
        <w:tab/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start="0" w:end="0" w:hanging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ab/>
        <w:t>Перечень объектов Заказчика представлен в Таблице 1.</w:t>
      </w:r>
    </w:p>
    <w:p>
      <w:pPr>
        <w:pStyle w:val="Normal"/>
        <w:bidi w:val="0"/>
        <w:spacing w:lineRule="auto" w:line="276"/>
        <w:jc w:val="start"/>
        <w:rPr/>
      </w:pPr>
      <w:bookmarkStart w:id="6" w:name="_Toc54643699"/>
      <w:r>
        <w:rPr>
          <w:rFonts w:ascii="Times New Roman" w:hAnsi="Times New Roman"/>
          <w:b/>
          <w:bCs/>
          <w:sz w:val="24"/>
          <w:szCs w:val="24"/>
        </w:rPr>
        <w:t>Таблица 1. Перечень объектов заказчика</w:t>
      </w:r>
      <w:bookmarkEnd w:id="6"/>
    </w:p>
    <w:tbl>
      <w:tblPr>
        <w:tblW w:w="9776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735"/>
        <w:gridCol w:w="2610"/>
        <w:gridCol w:w="2670"/>
        <w:gridCol w:w="3760"/>
      </w:tblGrid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3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</w:t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contextualSpacing w:val="false"/>
              <w:jc w:val="star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start="113" w:end="0" w:hanging="0"/>
              <w:contextualSpacing w:val="false"/>
              <w:jc w:val="center"/>
              <w:rPr/>
            </w:pPr>
            <w:r>
              <w:rPr>
                <w:rFonts w:eastAsia="Calibri" w:ascii="Times New Roman" w:hAnsi="Times New Roman"/>
                <w:iCs/>
                <w:sz w:val="20"/>
                <w:szCs w:val="20"/>
                <w:lang w:val="ru-RU" w:eastAsia="x-none"/>
              </w:rPr>
              <w:t xml:space="preserve">Филиал </w:t>
            </w:r>
            <w:r>
              <w:rPr>
                <w:rFonts w:eastAsia="Calibri" w:ascii="Times New Roman" w:hAnsi="Times New Roman"/>
                <w:iCs/>
                <w:sz w:val="20"/>
                <w:szCs w:val="20"/>
                <w:lang w:eastAsia="x-none"/>
              </w:rPr>
              <w:t>ПАО «РусГидро»-</w:t>
            </w:r>
            <w:r>
              <w:rPr>
                <w:rFonts w:eastAsia="Calibri" w:ascii="Times New Roman" w:hAnsi="Times New Roman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eastAsia="x-none"/>
              </w:rPr>
              <w:t>«Жигулевская ГЭС»</w:t>
            </w:r>
            <w:r>
              <w:rPr>
                <w:rFonts w:eastAsia="Calibri" w:ascii="Times New Roman" w:hAnsi="Times New Roman"/>
                <w:iCs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2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iCs/>
                <w:sz w:val="20"/>
                <w:szCs w:val="20"/>
                <w:shd w:fill="auto" w:val="clear"/>
                <w:lang w:val="ru-RU"/>
              </w:rPr>
              <w:t>445350, Россия, Самарская обл., г. Жигулевск, Московское шоссе, 2.</w:t>
            </w:r>
          </w:p>
        </w:tc>
        <w:tc>
          <w:tcPr>
            <w:tcW w:w="3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База ОМТС, ОПУ-500,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База Оборудования,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ОРУ-110,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Причал катеров,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ОРУ-220,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Д-49,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ВСП южная,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- ВСП северная. ПВХ</w:t>
            </w:r>
          </w:p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794"/>
        <w:contextualSpacing w:val="false"/>
        <w:jc w:val="both"/>
        <w:rPr/>
      </w:pPr>
      <w:r>
        <w:rPr>
          <w:rFonts w:ascii="Times New Roman" w:hAnsi="Times New Roman"/>
          <w:b/>
          <w:bCs/>
        </w:rPr>
        <w:t xml:space="preserve">1.5 Информация в отношении исполнения договора, </w:t>
      </w:r>
      <w:bookmarkStart w:id="7" w:name="_Hlk46492347"/>
      <w:r>
        <w:rPr>
          <w:rFonts w:ascii="Times New Roman" w:hAnsi="Times New Roman"/>
          <w:b/>
          <w:bCs/>
        </w:rPr>
        <w:t xml:space="preserve">которая должна быть учтена при подготовке заявки </w:t>
      </w:r>
      <w:bookmarkEnd w:id="7"/>
      <w:r>
        <w:rPr>
          <w:rFonts w:ascii="Times New Roman" w:hAnsi="Times New Roman"/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/>
      </w:pPr>
      <w:r>
        <w:rPr>
          <w:rFonts w:ascii="Times New Roman" w:hAnsi="Times New Roman"/>
        </w:rPr>
        <w:t xml:space="preserve">1.5.1 В стоимость услуг включены все расходы и затраты Исполнителя, в том числе затраты на приобретение </w:t>
      </w:r>
      <w:r>
        <w:rPr>
          <w:rFonts w:ascii="Times New Roman" w:hAnsi="Times New Roman"/>
          <w:lang w:val="ru-RU"/>
        </w:rPr>
        <w:t>химических средств</w:t>
      </w:r>
      <w:r>
        <w:rPr>
          <w:rFonts w:ascii="Times New Roman" w:hAnsi="Times New Roman"/>
        </w:rPr>
        <w:t>.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/>
      </w:pPr>
      <w:r>
        <w:rPr>
          <w:rFonts w:ascii="Times New Roman" w:hAnsi="Times New Roman"/>
        </w:rPr>
        <w:t>1.5.2 Услуги оказываются по мере загрязнения по предварительно направленной заявке Заказчика, либо в определенный день по договоренности.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1.5.4 </w:t>
      </w:r>
      <w:r>
        <w:rPr>
          <w:rFonts w:ascii="Times New Roman" w:hAnsi="Times New Roman"/>
          <w:color w:val="000000"/>
          <w:sz w:val="24"/>
          <w:szCs w:val="24"/>
        </w:rPr>
        <w:t>Заказчик направляет Исполнителю заявки по почте, факсу, электронной почте либо нарочным не позднее, чем за 5 (пяти) рабочих дней до начала оказания Услуги. В заявке указывается мест</w:t>
      </w:r>
      <w:r>
        <w:rPr>
          <w:rFonts w:eastAsia="Calibri" w:cs="Lucida Sans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о, срок и объем оказания Услуг.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>
          <w:rFonts w:ascii="Times New Roman" w:hAnsi="Times New Roman" w:eastAsia="Calibri" w:cs="Lucida Sans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Calibri" w:cs="Lucida Sans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1.5.5 Исполнитель при оказании услуг должен использовать только профессиональную технику.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/>
      </w:pPr>
      <w:r>
        <w:rPr>
          <w:rFonts w:eastAsia="Calibri" w:cs="Lucida Sans" w:ascii="Times New Roman" w:hAnsi="Times New Roman"/>
          <w:color w:val="000000"/>
          <w:kern w:val="2"/>
          <w:sz w:val="24"/>
          <w:szCs w:val="24"/>
          <w:lang w:val="ru-RU" w:eastAsia="zh-CN" w:bidi="hi-IN"/>
        </w:rPr>
        <w:t xml:space="preserve">1.5.6 Исполнитель должен иметь </w:t>
      </w:r>
      <w:r>
        <w:rPr>
          <w:rFonts w:eastAsia="Calibri" w:cs="Lucida Sans" w:ascii="Times New Roman" w:hAnsi="Times New Roman"/>
          <w:b/>
          <w:bCs/>
          <w:color w:val="000000"/>
          <w:kern w:val="2"/>
          <w:sz w:val="24"/>
          <w:szCs w:val="24"/>
          <w:lang w:val="ru-RU" w:eastAsia="zh-CN" w:bidi="hi-IN"/>
        </w:rPr>
        <w:t>лицензию на д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еятельность по сбору, транспортированию, обработке, утилизации, обезвреживанию, размещению отходов I-IV классов опасности на следующие виды деятельности: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>-  Транспортирование отходов IV класса опасности  (подтверждается в составе Заявки на участие)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1.5.7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 w:themeColor="text1"/>
          <w:sz w:val="24"/>
          <w:szCs w:val="24"/>
          <w:lang w:val="ru-RU"/>
        </w:rPr>
        <w:t>Исполнитель допускается на объект в соответствии с нормативно-правовыми актами по охране труда, Методикой допуска персонала подрядных организаций к выполнению работ на объектах Общества, утвержденной приказом ПАО «РусГидро» от 28.04.2023 № 300 «Об утверждении Регламента процесса «Допуск персонала подрядных организаций на объекты ПАО «РусГидро», а также Инструкцией о пропускном и внутризаводском режимах филиала ПАО «РусГидро».</w:t>
      </w:r>
    </w:p>
    <w:p>
      <w:pPr>
        <w:pStyle w:val="ListParagraph"/>
        <w:widowControl w:val="false"/>
        <w:suppressAutoHyphens w:val="true"/>
        <w:bidi w:val="0"/>
        <w:spacing w:before="0" w:after="0"/>
        <w:ind w:start="0" w:end="0" w:firstLine="907"/>
        <w:contextualSpacing w:val="false"/>
        <w:jc w:val="both"/>
        <w:rPr>
          <w:rFonts w:ascii="Times New Roman" w:hAnsi="Times New Roman"/>
          <w:color w:themeColor="text1"/>
          <w:lang w:val="ru-RU"/>
        </w:rPr>
      </w:pPr>
      <w:r>
        <w:rPr>
          <w:rFonts w:ascii="Times New Roman" w:hAnsi="Times New Roman"/>
          <w:color w:themeColor="text1"/>
          <w:lang w:val="ru-RU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850"/>
        <w:jc w:val="both"/>
        <w:rPr/>
      </w:pPr>
      <w:bookmarkStart w:id="8" w:name="_Toc50125126"/>
      <w:bookmarkEnd w:id="8"/>
      <w:r>
        <w:rPr>
          <w:rFonts w:ascii="Times New Roman" w:hAnsi="Times New Roman"/>
          <w:b/>
          <w:bCs/>
          <w:sz w:val="24"/>
          <w:szCs w:val="24"/>
        </w:rPr>
        <w:t>1.6 Обязанности Исполнителя.</w:t>
      </w:r>
      <w:bookmarkStart w:id="9" w:name="_Toc54643701"/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start="0" w:end="0" w:firstLine="850"/>
        <w:contextualSpacing w:val="false"/>
        <w:jc w:val="both"/>
        <w:rPr/>
      </w:pPr>
      <w:bookmarkEnd w:id="9"/>
      <w:r>
        <w:rPr>
          <w:rFonts w:ascii="Times New Roman" w:hAnsi="Times New Roman"/>
        </w:rPr>
        <w:t xml:space="preserve">1.6.1 Заказчик и Исполнитель определяют ответственных представителей для решения административных и технических вопросов, связанных с исполнением обязательств по Договору. 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start="0" w:end="0" w:firstLine="850"/>
        <w:contextualSpacing w:val="false"/>
        <w:jc w:val="both"/>
        <w:rPr/>
      </w:pPr>
      <w:r>
        <w:rPr>
          <w:rFonts w:ascii="Times New Roman" w:hAnsi="Times New Roman"/>
        </w:rPr>
        <w:t xml:space="preserve">1.6.2 Транспортировка (доставка) необходимых средств осуществляются силами и за счет средств Исполнителя на специально оборудованном транспорте Исполнителя, соответствующего требованиям санитарных норм, действующих на территории Российской Федерации.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</w:rPr>
        <w:t>1.6.3 Очистка биотуалетов ассенизационной автомашиной и вывоз отходов должен производиться согласно заявок Заказчика.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</w:rPr>
        <w:t>1.6.4 Исполнитель обязан обеспечить содержание биотуалетов в технически исправном состоянии.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  <w:sz w:val="24"/>
          <w:szCs w:val="24"/>
        </w:rPr>
        <w:t>1.6.5 Услуги оказываются с использованием собственных средств и оборудования Исполнителя.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  <w:sz w:val="24"/>
          <w:szCs w:val="24"/>
        </w:rPr>
        <w:t>1.6.6 Исполнитель за свой счет и своими средствами вывозит отходы за территорию Филиала с последующей утилизацией.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  <w:sz w:val="24"/>
          <w:szCs w:val="24"/>
        </w:rPr>
        <w:t>1.6.7 Наличие у Исполнителя специализированного, квалифицированного персонала, задействованного при оказании Услуги.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tLeast" w:line="10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start="850" w:end="0" w:hanging="0"/>
        <w:contextualSpacing w:val="false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1.7 Иные требования и сведения общего характера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widowControl w:val="false"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contextualSpacing w:val="false"/>
        <w:jc w:val="both"/>
        <w:rPr>
          <w:rFonts w:ascii="Times New Roman" w:hAnsi="Times New Roman"/>
          <w:bCs/>
          <w:i/>
          <w:i/>
          <w:shd w:fill="FFFF99" w:val="clear"/>
        </w:rPr>
      </w:pPr>
      <w:r>
        <w:rPr>
          <w:rFonts w:ascii="Times New Roman" w:hAnsi="Times New Roman"/>
          <w:bCs/>
          <w:i/>
          <w:shd w:fill="FFFF99" w:val="clear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  <w:sz w:val="24"/>
          <w:szCs w:val="24"/>
        </w:rPr>
        <w:t>1.7.1 Применяемые средства должны быть без резкого запаха, экологически безопасными для окружающей среды, не причиняющими вреда здоровью и самочувствию третьих лиц, клиентов, обслуживающему персоналу и иметь сертификаты качества и соответствия. Кроме 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1.7.2 Обслуживание, обработка</w:t>
      </w:r>
      <w:r>
        <w:rPr>
          <w:rFonts w:ascii="Times New Roman" w:hAnsi="Times New Roman"/>
          <w:sz w:val="24"/>
          <w:szCs w:val="24"/>
        </w:rPr>
        <w:t xml:space="preserve"> мобильных туалетных кабин должна производиться профессиональными средствами, позволяющими уничтожать неприятный запах, микробы, бактерии.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start="0" w:end="0" w:firstLine="850"/>
        <w:jc w:val="both"/>
        <w:rPr/>
      </w:pPr>
      <w:r>
        <w:rPr>
          <w:rFonts w:ascii="Times New Roman" w:hAnsi="Times New Roman"/>
          <w:sz w:val="24"/>
          <w:szCs w:val="24"/>
        </w:rPr>
        <w:t>1.7.3 Организация, осуществляющая Услуги, согласно техническому заданию, должна использовать только профессиональную технику.</w:t>
      </w:r>
    </w:p>
    <w:p>
      <w:pPr>
        <w:pStyle w:val="ListParagraph"/>
        <w:bidi w:val="0"/>
        <w:spacing w:lineRule="auto" w:line="240" w:before="0" w:after="0"/>
        <w:contextualSpacing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spacing w:lineRule="auto" w:line="240" w:before="0" w:after="0"/>
        <w:contextualSpacing w:val="false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Heading4"/>
        <w:keepNext w:val="true"/>
        <w:widowControl w:val="false"/>
        <w:suppressAutoHyphens w:val="true"/>
        <w:bidi w:val="0"/>
        <w:spacing w:lineRule="auto" w:line="240" w:before="0" w:after="0"/>
        <w:ind w:start="0" w:end="0" w:firstLine="907"/>
        <w:jc w:val="both"/>
        <w:rPr/>
      </w:pPr>
      <w:r>
        <w:rPr>
          <w:rFonts w:ascii="Times New Roman" w:hAnsi="Times New Roman"/>
          <w:b/>
          <w:bCs/>
          <w:lang w:val="ru-RU"/>
        </w:rPr>
        <w:t xml:space="preserve">1.8  </w:t>
      </w:r>
      <w:r>
        <w:rPr>
          <w:rFonts w:ascii="Times New Roman" w:hAnsi="Times New Roman"/>
          <w:b/>
          <w:bCs/>
        </w:rPr>
        <w:t>Обязанности Заказчика</w:t>
      </w:r>
    </w:p>
    <w:p>
      <w:pPr>
        <w:pStyle w:val="Heading3"/>
        <w:keepNext w:val="true"/>
        <w:widowControl/>
        <w:suppressAutoHyphens w:val="true"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bidi="ar-SA"/>
        </w:rPr>
        <w:t xml:space="preserve">1.8.1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bidi="ar-SA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Heading3"/>
        <w:keepNext w:val="true"/>
        <w:widowControl/>
        <w:suppressAutoHyphens w:val="true"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bidi="ar-SA"/>
        </w:rPr>
        <w:t xml:space="preserve">1.8.2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bidi="ar-SA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bidi="ar-SA"/>
        </w:rPr>
        <w:t>1.8.3 Подготовку рабочих мест и допуск на рабочие места выполняет персонал Заказчика.</w:t>
      </w:r>
    </w:p>
    <w:p>
      <w:pPr>
        <w:pStyle w:val="ListParagraph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ListParagraph"/>
        <w:bidi w:val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bookmarkStart w:id="10" w:name="_Toc54643702"/>
      <w:bookmarkStart w:id="11" w:name="_Toc51339693"/>
      <w:r>
        <w:rPr>
          <w:rFonts w:ascii="Times New Roman" w:hAnsi="Times New Roman"/>
          <w:b/>
          <w:bCs/>
          <w:sz w:val="28"/>
          <w:szCs w:val="28"/>
        </w:rPr>
        <w:t>Требования к продукции</w:t>
      </w:r>
      <w:bookmarkEnd w:id="10"/>
      <w:bookmarkEnd w:id="11"/>
    </w:p>
    <w:p>
      <w:pPr>
        <w:pStyle w:val="ListParagraph"/>
        <w:bidi w:val="0"/>
        <w:spacing w:lineRule="auto" w:line="276"/>
        <w:jc w:val="start"/>
        <w:rPr/>
      </w:pPr>
      <w:r>
        <w:rPr>
          <w:rFonts w:ascii="Times New Roman" w:hAnsi="Times New Roman"/>
          <w:b/>
          <w:bCs/>
        </w:rPr>
        <w:t>2.1.</w:t>
      </w:r>
      <w:bookmarkStart w:id="12" w:name="_Toc54643703"/>
      <w:r>
        <w:rPr>
          <w:rFonts w:ascii="Times New Roman" w:hAnsi="Times New Roman"/>
          <w:b/>
          <w:bCs/>
        </w:rPr>
        <w:t>Требования к объемам и срокам оказания услуг</w:t>
      </w:r>
      <w:bookmarkEnd w:id="12"/>
    </w:p>
    <w:p>
      <w:pPr>
        <w:pStyle w:val="ListParagraph"/>
        <w:bidi w:val="0"/>
        <w:spacing w:lineRule="auto" w:line="276"/>
        <w:jc w:val="start"/>
        <w:rPr/>
      </w:pPr>
      <w:r>
        <w:rPr>
          <w:rFonts w:ascii="Times New Roman" w:hAnsi="Times New Roman"/>
          <w:b/>
          <w:bCs/>
        </w:rPr>
        <w:t>2.1.1.</w:t>
      </w:r>
      <w:bookmarkStart w:id="13" w:name="_Toc54643704"/>
      <w:r>
        <w:rPr>
          <w:rFonts w:ascii="Times New Roman" w:hAnsi="Times New Roman"/>
          <w:b/>
          <w:bCs/>
        </w:rPr>
        <w:t>Требования к перечню и объему услуг</w:t>
      </w:r>
      <w:bookmarkEnd w:id="13"/>
    </w:p>
    <w:p>
      <w:pPr>
        <w:pStyle w:val="Normal"/>
        <w:bidi w:val="0"/>
        <w:spacing w:lineRule="auto" w:line="276"/>
        <w:jc w:val="start"/>
        <w:rPr/>
      </w:pPr>
      <w:bookmarkStart w:id="14" w:name="_Toc54643705"/>
      <w:bookmarkStart w:id="15" w:name="_Toc51339695"/>
      <w:r>
        <w:rPr>
          <w:rFonts w:ascii="Times New Roman" w:hAnsi="Times New Roman"/>
          <w:b/>
          <w:bCs/>
          <w:sz w:val="24"/>
          <w:szCs w:val="24"/>
        </w:rPr>
        <w:t xml:space="preserve">Таблица 2. Перечень </w:t>
      </w:r>
      <w:bookmarkEnd w:id="15"/>
      <w:r>
        <w:rPr>
          <w:rFonts w:ascii="Times New Roman" w:hAnsi="Times New Roman"/>
          <w:b/>
          <w:bCs/>
          <w:sz w:val="24"/>
          <w:szCs w:val="24"/>
        </w:rPr>
        <w:t>и объем оказываемых услуг</w:t>
      </w:r>
      <w:bookmarkEnd w:id="14"/>
    </w:p>
    <w:tbl>
      <w:tblPr>
        <w:tblW w:w="9240" w:type="dxa"/>
        <w:jc w:val="start"/>
        <w:tblInd w:w="5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364"/>
        <w:gridCol w:w="3576"/>
        <w:gridCol w:w="1309"/>
        <w:gridCol w:w="871"/>
        <w:gridCol w:w="1635"/>
        <w:gridCol w:w="1485"/>
      </w:tblGrid>
      <w:tr>
        <w:trPr/>
        <w:tc>
          <w:tcPr>
            <w:tcW w:w="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п/п</w:t>
            </w:r>
          </w:p>
        </w:tc>
        <w:tc>
          <w:tcPr>
            <w:tcW w:w="3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Наименование услуг / этапа услуг</w:t>
            </w:r>
          </w:p>
        </w:tc>
        <w:tc>
          <w:tcPr>
            <w:tcW w:w="1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Единица измерения*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К</w:t>
            </w: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оличество</w:t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Периодичность оказания услуг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Общий объем</w:t>
            </w: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**</w:t>
            </w:r>
          </w:p>
        </w:tc>
      </w:tr>
      <w:tr>
        <w:trPr/>
        <w:tc>
          <w:tcPr>
            <w:tcW w:w="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b/>
                <w:bCs/>
                <w:color w:val="auto"/>
                <w:kern w:val="2"/>
                <w:sz w:val="20"/>
                <w:szCs w:val="20"/>
                <w:shd w:fill="auto" w:val="clear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ru-RU" w:eastAsia="zh-CN" w:bidi="hi-IN"/>
              </w:rPr>
              <w:t>6</w:t>
            </w:r>
          </w:p>
        </w:tc>
      </w:tr>
      <w:tr>
        <w:trPr/>
        <w:tc>
          <w:tcPr>
            <w:tcW w:w="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Оказание услуг по обслуживанию биотуалетов на территории филиала ПАО «РусГидро»-«Жигулевская ГЭС в зимний период</w:t>
            </w:r>
          </w:p>
        </w:tc>
        <w:tc>
          <w:tcPr>
            <w:tcW w:w="1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шт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1 раз в зимний месяц по Заявкам Заказчика</w:t>
            </w:r>
          </w:p>
        </w:tc>
        <w:tc>
          <w:tcPr>
            <w:tcW w:w="14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40</w:t>
            </w:r>
          </w:p>
        </w:tc>
      </w:tr>
      <w:tr>
        <w:trPr/>
        <w:tc>
          <w:tcPr>
            <w:tcW w:w="3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4"/>
              <w:widowControl w:val="false"/>
              <w:jc w:val="both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Оказание услуг по обслуживанию биотуалетов на территории филиала ПАО «РусГидро»-«Жигулевская ГЭС в летний период</w:t>
            </w:r>
          </w:p>
        </w:tc>
        <w:tc>
          <w:tcPr>
            <w:tcW w:w="13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шт</w:t>
            </w:r>
          </w:p>
        </w:tc>
        <w:tc>
          <w:tcPr>
            <w:tcW w:w="8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8</w:t>
            </w:r>
          </w:p>
        </w:tc>
        <w:tc>
          <w:tcPr>
            <w:tcW w:w="163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 xml:space="preserve">2 раза в зимний период 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п</w:t>
            </w: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о Заявкам Заказчика</w:t>
            </w:r>
          </w:p>
        </w:tc>
        <w:tc>
          <w:tcPr>
            <w:tcW w:w="148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112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10"/>
          <w:szCs w:val="10"/>
          <w:highlight w:val="yellow"/>
        </w:rPr>
      </w:pPr>
      <w:r>
        <w:rPr>
          <w:rFonts w:ascii="Times New Roman" w:hAnsi="Times New Roman"/>
          <w:sz w:val="10"/>
          <w:szCs w:val="10"/>
          <w:highlight w:val="yellow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* Под единицей измерения  «шт» понимается оказание услуг по обслуживанию одной единицы биотуалета.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/>
          <w:iCs/>
          <w:sz w:val="20"/>
          <w:szCs w:val="20"/>
        </w:rPr>
        <w:t>**Информация о количестве имеет информационно-справочный характер и приведена исходя из планируемого к приобретению Заказчиком объёма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ListParagraph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bookmarkStart w:id="16" w:name="_Toc54643706"/>
      <w:bookmarkStart w:id="17" w:name="_Toc54643706"/>
    </w:p>
    <w:p>
      <w:pPr>
        <w:pStyle w:val="ListParagraph"/>
        <w:bidi w:val="0"/>
        <w:jc w:val="start"/>
        <w:rPr/>
      </w:pPr>
      <w:r>
        <w:rPr>
          <w:rFonts w:ascii="Times New Roman" w:hAnsi="Times New Roman"/>
          <w:b/>
          <w:bCs/>
        </w:rPr>
        <w:t>2.2.</w:t>
      </w:r>
      <w:bookmarkStart w:id="18" w:name="_Toc51339696"/>
      <w:r>
        <w:rPr>
          <w:rFonts w:ascii="Times New Roman" w:hAnsi="Times New Roman"/>
          <w:b/>
          <w:bCs/>
        </w:rPr>
        <w:t xml:space="preserve">Требования </w:t>
      </w:r>
      <w:bookmarkEnd w:id="18"/>
      <w:r>
        <w:rPr>
          <w:rFonts w:ascii="Times New Roman" w:hAnsi="Times New Roman"/>
          <w:b/>
          <w:bCs/>
        </w:rPr>
        <w:t>к срокам оказания услуг</w:t>
      </w:r>
      <w:bookmarkEnd w:id="17"/>
    </w:p>
    <w:p>
      <w:pPr>
        <w:pStyle w:val="Normal"/>
        <w:bidi w:val="0"/>
        <w:jc w:val="start"/>
        <w:rPr/>
      </w:pPr>
      <w:bookmarkStart w:id="19" w:name="_Toc54643707"/>
      <w:bookmarkStart w:id="20" w:name="_Toc51339697"/>
      <w:bookmarkStart w:id="21" w:name="_Toc50125127"/>
      <w:bookmarkStart w:id="22" w:name="_Toc501251261"/>
      <w:bookmarkEnd w:id="22"/>
      <w:r>
        <w:rPr>
          <w:rFonts w:ascii="Times New Roman" w:hAnsi="Times New Roman"/>
          <w:b/>
          <w:bCs/>
          <w:sz w:val="24"/>
          <w:szCs w:val="24"/>
        </w:rPr>
        <w:t xml:space="preserve">Таблица 3. </w:t>
      </w:r>
      <w:bookmarkStart w:id="23" w:name="_Hlk50465284"/>
      <w:r>
        <w:rPr>
          <w:rFonts w:ascii="Times New Roman" w:hAnsi="Times New Roman"/>
          <w:b/>
          <w:bCs/>
          <w:sz w:val="24"/>
          <w:szCs w:val="24"/>
        </w:rPr>
        <w:t xml:space="preserve">Требования к срокам </w:t>
      </w:r>
      <w:bookmarkEnd w:id="20"/>
      <w:bookmarkEnd w:id="21"/>
      <w:bookmarkEnd w:id="23"/>
      <w:r>
        <w:rPr>
          <w:rFonts w:ascii="Times New Roman" w:hAnsi="Times New Roman"/>
          <w:b/>
          <w:bCs/>
          <w:sz w:val="24"/>
          <w:szCs w:val="24"/>
        </w:rPr>
        <w:t>оказания услуг</w:t>
      </w:r>
      <w:bookmarkEnd w:id="19"/>
    </w:p>
    <w:tbl>
      <w:tblPr>
        <w:tblW w:w="9510" w:type="dxa"/>
        <w:jc w:val="start"/>
        <w:tblInd w:w="5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959"/>
        <w:gridCol w:w="3151"/>
        <w:gridCol w:w="2702"/>
        <w:gridCol w:w="2697"/>
      </w:tblGrid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1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contextualSpacing w:val="false"/>
              <w:jc w:val="star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ОКПД2 37.00.12.110 Оказание услуг по обслуживанию биотуалетов на территории филиала ПАО «РусГидро»-«Жигулевская ГЭС»</w:t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2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/>
            </w:pPr>
            <w:bookmarkStart w:id="24" w:name="_Toc46743510"/>
            <w:r>
              <w:rPr>
                <w:rFonts w:ascii="Times New Roman" w:hAnsi="Times New Roman"/>
                <w:sz w:val="20"/>
                <w:szCs w:val="20"/>
              </w:rPr>
              <w:t>31.12.202</w:t>
            </w:r>
            <w:bookmarkEnd w:id="24"/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1127" w:gutter="0" w:header="1134" w:top="1601" w:footer="0" w:bottom="1134"/>
          <w:pgNumType w:fmt="decimal"/>
          <w:formProt w:val="false"/>
          <w:textDirection w:val="lrTb"/>
          <w:docGrid w:type="default" w:linePitch="312" w:charSpace="0"/>
        </w:sectPr>
        <w:pStyle w:val="Normal"/>
        <w:rPr/>
      </w:pPr>
      <w:r>
        <w:rPr/>
      </w:r>
    </w:p>
    <w:p>
      <w:pPr>
        <w:pStyle w:val="ListParagraph"/>
        <w:bidi w:val="0"/>
        <w:jc w:val="start"/>
        <w:rPr/>
      </w:pPr>
      <w:r>
        <w:rPr>
          <w:rFonts w:eastAsia="Calibri" w:cs="Lucida Sans" w:ascii="Times New Roman" w:hAnsi="Times New Roman"/>
          <w:b/>
          <w:bCs/>
          <w:color w:val="auto"/>
          <w:kern w:val="2"/>
          <w:sz w:val="24"/>
          <w:szCs w:val="24"/>
          <w:lang w:val="ru-RU" w:eastAsia="zh-CN" w:bidi="hi-IN"/>
        </w:rPr>
        <w:t xml:space="preserve">2.2  </w:t>
      </w:r>
      <w:bookmarkStart w:id="25" w:name="_Toc54643709"/>
      <w:bookmarkStart w:id="26" w:name="_Toc54643708"/>
      <w:bookmarkStart w:id="27" w:name="_Toc46743511"/>
      <w:r>
        <w:rPr>
          <w:rFonts w:eastAsia="Calibri" w:cs="Lucida Sans" w:ascii="Times New Roman" w:hAnsi="Times New Roman"/>
          <w:b/>
          <w:bCs/>
          <w:color w:val="auto"/>
          <w:kern w:val="2"/>
          <w:sz w:val="24"/>
          <w:szCs w:val="24"/>
          <w:lang w:val="ru-RU" w:eastAsia="zh-CN" w:bidi="hi-IN"/>
        </w:rPr>
        <w:t>Требования</w:t>
      </w:r>
      <w:r>
        <w:rPr>
          <w:rFonts w:ascii="Times New Roman" w:hAnsi="Times New Roman"/>
          <w:b/>
          <w:bCs/>
        </w:rPr>
        <w:t xml:space="preserve"> к </w:t>
      </w:r>
      <w:bookmarkEnd w:id="27"/>
      <w:r>
        <w:rPr>
          <w:rFonts w:ascii="Times New Roman" w:hAnsi="Times New Roman"/>
          <w:b/>
          <w:bCs/>
        </w:rPr>
        <w:t>качеству услуг</w:t>
      </w:r>
      <w:bookmarkEnd w:id="26"/>
    </w:p>
    <w:p>
      <w:pPr>
        <w:pStyle w:val="Normal"/>
        <w:bidi w:val="0"/>
        <w:jc w:val="start"/>
        <w:rPr/>
      </w:pPr>
      <w:bookmarkStart w:id="28" w:name="_Toc51339698"/>
      <w:r>
        <w:rPr>
          <w:rFonts w:ascii="Times New Roman" w:hAnsi="Times New Roman"/>
          <w:b/>
          <w:bCs/>
          <w:sz w:val="24"/>
          <w:szCs w:val="24"/>
        </w:rPr>
        <w:t xml:space="preserve">Таблица 4. Требования к </w:t>
      </w:r>
      <w:bookmarkEnd w:id="28"/>
      <w:r>
        <w:rPr>
          <w:rFonts w:ascii="Times New Roman" w:hAnsi="Times New Roman"/>
          <w:b/>
          <w:bCs/>
          <w:sz w:val="24"/>
          <w:szCs w:val="24"/>
        </w:rPr>
        <w:t>качеству услуг</w:t>
      </w:r>
      <w:bookmarkEnd w:id="25"/>
    </w:p>
    <w:p>
      <w:pPr>
        <w:pStyle w:val="Normal"/>
        <w:bidi w:val="0"/>
        <w:jc w:val="start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 услуги/этапа услуги: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ОКПД2 37.00.12.110 Оказание услуг по обслуживанию биотуалетов на территории филиала ПАО «РусГидро»-«Жигулевская ГЭС»</w:t>
      </w:r>
    </w:p>
    <w:tbl>
      <w:tblPr>
        <w:tblStyle w:val="af"/>
        <w:tblW w:w="14885" w:type="dxa"/>
        <w:jc w:val="start"/>
        <w:tblInd w:w="108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167"/>
        <w:gridCol w:w="400"/>
        <w:gridCol w:w="2836"/>
        <w:gridCol w:w="2692"/>
        <w:gridCol w:w="2927"/>
        <w:gridCol w:w="2744"/>
      </w:tblGrid>
      <w:tr>
        <w:trPr>
          <w:trHeight w:val="20" w:hRule="atLeast"/>
        </w:trPr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51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267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bookmarkStart w:id="29" w:name="_Toc53499667"/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9"/>
          </w:p>
        </w:tc>
        <w:tc>
          <w:tcPr>
            <w:tcW w:w="226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403" w:type="dxa"/>
            <w:gridSpan w:val="3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star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2836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Осуществляются в соответствии с ГОСТ Р51870-2014 «Услуги профессиональной уборки – клининговые услуги» (дата введения 01.07.2015)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start="0" w:hanging="0"/>
              <w:jc w:val="start"/>
              <w:outlineLvl w:val="2"/>
              <w:rPr>
                <w:rFonts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star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 персонал Заказчика</w:t>
            </w:r>
          </w:p>
        </w:tc>
        <w:tc>
          <w:tcPr>
            <w:tcW w:w="2836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 соответствии с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 (Приложение 1 к настоящим ТТ)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start="0" w:hanging="0"/>
              <w:jc w:val="start"/>
              <w:outlineLvl w:val="2"/>
              <w:rPr>
                <w:rFonts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2836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 обязуется использовать труд обученного, опытного и квалифицированного персонала.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start="0" w:hanging="0"/>
              <w:jc w:val="start"/>
              <w:outlineLvl w:val="2"/>
              <w:rPr>
                <w:rFonts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4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2836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Допуск Исполнителя на объекты осуществляется с соответствии с Положением по пропускному и внутриобъектовому режимам Филиала ПАО «РусГидро» - «Жигулёвская ГЭС» (Приложение №3)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start="57" w:end="0" w:firstLine="340"/>
              <w:jc w:val="both"/>
              <w:rPr>
                <w:sz w:val="20"/>
                <w:szCs w:val="20"/>
              </w:rPr>
            </w:pPr>
            <w:r>
              <w:rPr>
                <w:rFonts w:eastAsia="Tempora LGC Uni" w:ascii="Times New Roman" w:hAnsi="Times New Roman"/>
                <w:color w:val="000000"/>
                <w:sz w:val="20"/>
                <w:szCs w:val="20"/>
              </w:rPr>
              <w:t>Перед началом оказания услуг Исполнитель (работник назначенный приказом) проходит инструктажи по Охране труда и Пожарной безопасности у представителей Заказчика с составлением АКТА-ДОПУСКА для производства работ на территории Заказчика.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start="0" w:hanging="0"/>
              <w:jc w:val="start"/>
              <w:outlineLvl w:val="2"/>
              <w:rPr>
                <w:rFonts w:ascii="Times New Roman" w:hAnsi="Times New Roman"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Оказание услуг включает: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Летний период: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 выкачка нечистот, с последующей утилизацией;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 смена наполнителя (хим.реактива) в накопительном баке;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 Мойка внешних поверхностей приемного бака;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 Заправка туалетной бумагой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Зимний период: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  выкачка нечистот, с последующей утилизацией;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 смена наполнителя (хим.реактива) в накопительном баке;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 заправка зимним реагентом и при необходимости разморозка содержимого приемного бака при помощи спецтехники с парогенератором;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-заправка туалетной бумагой.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434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236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Услуги оказываются в таком объёме, который позволяет продолжать эксплуатацию объекта без закупки Заказчиком дополнительных объёмов каких-либо материалов, оборудования и услуг. Услуги считаются оказанными после приёмки услуг комиссией филиала, с оформлением отчётной документации со стороны Исполнителя.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При оказании услуг профессиональной уборки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Химические средства (очищающие, чистящие, моющие, дезинфицирующие и т.п.), используемые при проведении уборки, должны иметь паспорт безопасности, оформленный в установленном в РФ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Специальное технологическое оборудование и уборочный инвентарь, применяемые при оказании услуг уборки, должны использовать в соответствии с требованиями технологии уборки. Технологическое оборудование и инвентарь, подлежащие обязательному подтверждению соответствия, должны иметь сертификат соответствия или декларацию о соответствии.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FontStyle12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Гарантия качества на оказанные услуги предоставляется Исполнителем на весь период оказания услуг.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bookmarkStart w:id="30" w:name="Par773"/>
            <w:bookmarkEnd w:id="30"/>
            <w:r>
              <w:rPr>
                <w:rStyle w:val="FontStyle12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Исполнитель гарантирует качество и безопасность оказываемых услуг в соответствии с требованиями настоящего Технического задания, а также стандартами, правилами, утвержденными на данные виды услуг, и иными действующими на территории Российской Федерации нормативно-правовыми актами.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FontStyle12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Исполнитель несет материальную ответственность за </w:t>
            </w:r>
            <w:r>
              <w:rPr>
                <w:rStyle w:val="FontStyle12"/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 w:bidi="ar-SA"/>
              </w:rPr>
              <w:t>о</w:t>
            </w:r>
            <w:r>
              <w:rPr>
                <w:rStyle w:val="FontStyle12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казанные услуги.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start="0" w:hanging="0"/>
              <w:jc w:val="start"/>
              <w:outlineLvl w:val="2"/>
              <w:rPr>
                <w:rFonts w:ascii="Times New Roman" w:hAnsi="Times New Roman"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20" w:hRule="atLeast"/>
        </w:trPr>
        <w:tc>
          <w:tcPr>
            <w:tcW w:w="85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0" w:after="0"/>
              <w:contextualSpacing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0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FontStyle12"/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Услуги оказываются в соответствии с требованиями действующего законодательства РФ: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Федеральный закон от 30.03.1999 № 52-ФЗ «О санитарно-эпидемиологическом благополучии населения».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Федеральный закон от 24.06.1998 N 89-ФЗ «Об отходах производства и потребления»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Федеральный закон от 04.05.2011 № 99-ФЗ «О лицензировании отдельных видов деятельности»,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both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Постановлением Правительства РФ от 03.10.2015 г. № 1062 «О лицензировании деятельности по сбору, транспортированию, обработке, утилизации, обезвреживанию, размещению отходов I - IV классов опасности»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6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работе с инструментом и приспособлениями» (утв. приказом Минтруда России от 27.11.2020 N 835н)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6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«Правила противопожарного режима в Российской Федерации» (утверждены Постановлением Правительства РФ от 16.09.2020 N 1479)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6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 "Правила безопасности опасных производственных объектов, на которых используются подъемные сооружения" (утверждены приказом Ростехнадзора от 26.11.2020 №461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6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эксплуатации электроустановок» (утверждены приказом Минтруда РФ от 15.12.2020 №903н)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6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Стандарт организации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60" w:after="0"/>
              <w:ind w:hanging="0"/>
              <w:rPr/>
            </w:pPr>
            <w:r>
              <w:rPr>
                <w:rStyle w:val="FontStyle12"/>
                <w:rFonts w:eastAsia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 «Правила по охране труда при погрузочно-разгрузочных работах и размещении грузов» (утв. приказом Минтруда России от 28.10.2020 N 753н)</w:t>
            </w:r>
          </w:p>
        </w:tc>
        <w:tc>
          <w:tcPr>
            <w:tcW w:w="26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eastAsia="NSimSun" w:cs="Lucida Sans"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auto"/>
                <w:kern w:val="2"/>
                <w:sz w:val="20"/>
                <w:szCs w:val="20"/>
                <w:lang w:val="ru-RU" w:eastAsia="zh-CN" w:bidi="hi-IN"/>
              </w:rPr>
              <w:t>Согласие с требованием</w:t>
            </w:r>
          </w:p>
        </w:tc>
        <w:tc>
          <w:tcPr>
            <w:tcW w:w="2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jc w:val="star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7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start="0" w:hanging="0"/>
              <w:jc w:val="start"/>
              <w:outlineLvl w:val="2"/>
              <w:rPr>
                <w:rFonts w:ascii="Times New Roman" w:hAnsi="Times New Roman"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/>
                <w:sz w:val="20"/>
                <w:szCs w:val="20"/>
                <w:lang w:val="ru-RU" w:eastAsia="ru-RU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8192"/>
        </w:sectPr>
      </w:pP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bCs/>
        </w:rPr>
        <w:t>3. Требования к документации по ценообразованию на этапе закупки</w:t>
      </w:r>
    </w:p>
    <w:p>
      <w:pPr>
        <w:pStyle w:val="Normal"/>
        <w:widowControl/>
        <w:suppressAutoHyphens w:val="true"/>
        <w:bidi w:val="0"/>
        <w:snapToGrid w:val="false"/>
        <w:spacing w:before="0" w:after="0"/>
        <w:ind w:start="0" w:end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 w:bidi="ar-SA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widowControl/>
        <w:suppressAutoHyphens w:val="true"/>
        <w:bidi w:val="0"/>
        <w:snapToGrid w:val="false"/>
        <w:spacing w:before="0" w:after="0"/>
        <w:ind w:start="0" w:end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 w:bidi="ar-SA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widowControl/>
        <w:suppressAutoHyphens w:val="true"/>
        <w:bidi w:val="0"/>
        <w:snapToGrid w:val="false"/>
        <w:spacing w:before="0" w:after="0"/>
        <w:ind w:start="0" w:end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 w:bidi="ar-SA"/>
        </w:rPr>
        <w:t xml:space="preserve">    </w:t>
      </w:r>
      <w:r>
        <w:rPr>
          <w:rFonts w:ascii="Times New Roman" w:hAnsi="Times New Roman"/>
          <w:b/>
          <w:bCs/>
          <w:lang w:val="ru-RU" w:bidi="ar-SA"/>
        </w:rPr>
        <w:t xml:space="preserve">  </w:t>
      </w:r>
      <w:r>
        <w:rPr>
          <w:rFonts w:ascii="Times New Roman" w:hAnsi="Times New Roman"/>
          <w:b/>
          <w:bCs/>
          <w:lang w:val="ru-RU" w:bidi="ar-SA"/>
        </w:rPr>
        <w:t>4. Требования к документации по ценообразованию на этапе заключения (исполнения) договора.</w:t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567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 w:val="false"/>
          <w:bCs/>
          <w:lang w:val="ru-RU" w:bidi="ar-SA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договора.</w:t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567"/>
        <w:jc w:val="center"/>
        <w:rPr>
          <w:rFonts w:ascii="Times New Roman" w:hAnsi="Times New Roman"/>
        </w:rPr>
      </w:pPr>
      <w:r>
        <w:rPr>
          <w:rFonts w:eastAsia="NSimSun" w:cs="Lucida Sans" w:ascii="Times New Roman" w:hAnsi="Times New Roman"/>
          <w:b/>
          <w:bCs/>
          <w:color w:val="auto"/>
          <w:kern w:val="2"/>
          <w:sz w:val="24"/>
          <w:szCs w:val="24"/>
          <w:lang w:val="ru-RU" w:eastAsia="zh-CN" w:bidi="ar-SA"/>
        </w:rPr>
        <w:t>5. Приложения</w:t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567"/>
        <w:jc w:val="both"/>
        <w:rPr/>
      </w:pPr>
      <w:r>
        <w:rPr>
          <w:rFonts w:eastAsia="NSimSu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ru-RU" w:eastAsia="zh-CN" w:bidi="ar-SA"/>
        </w:rPr>
        <w:t xml:space="preserve">Приложение № 1 - </w:t>
      </w:r>
      <w:r>
        <w:rPr>
          <w:rStyle w:val="FontStyle12"/>
          <w:rFonts w:eastAsia="NSimSu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ru-RU" w:eastAsia="zh-CN" w:bidi="ar-SA"/>
        </w:rPr>
        <w:t>Стандарт организации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гидроэлектростанций»;</w:t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567"/>
        <w:jc w:val="both"/>
        <w:rPr/>
      </w:pPr>
      <w:r>
        <w:rPr>
          <w:rStyle w:val="FontStyle12"/>
          <w:rFonts w:eastAsia="NSimSu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ru-RU" w:eastAsia="zh-CN" w:bidi="ar-SA"/>
        </w:rPr>
        <w:t xml:space="preserve">Приложение № 2 - </w:t>
      </w:r>
      <w:r>
        <w:rPr>
          <w:rStyle w:val="FontStyle12"/>
          <w:rFonts w:eastAsia="NSimSun" w:cs="Lucida Sans" w:ascii="Times New Roman" w:hAnsi="Times New Roman"/>
          <w:b w:val="false"/>
          <w:bCs w:val="false"/>
          <w:i w:val="false"/>
          <w:iCs w:val="false"/>
          <w:color w:val="000000" w:themeColor="text1"/>
          <w:kern w:val="2"/>
          <w:sz w:val="24"/>
          <w:szCs w:val="24"/>
          <w:lang w:val="ru-RU" w:eastAsia="zh-CN" w:bidi="ar-SA"/>
        </w:rPr>
        <w:t>Методика допуска персонала подрядных организаций к выполнению работ на объектах Общества, утвержденной приказом ПАО «РусГидро» от 28.04.2023 № 300 «Об утверждении Регламента процесса «Допуск персонала подрядных организаций на объекты ПАО «РусГидро».</w:t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567"/>
        <w:jc w:val="both"/>
        <w:rPr/>
      </w:pPr>
      <w:r>
        <w:rPr>
          <w:rStyle w:val="FontStyle12"/>
          <w:rFonts w:eastAsia="NSimSun" w:cs="Lucida Sans" w:ascii="Times New Roman" w:hAnsi="Times New Roman"/>
          <w:b w:val="false"/>
          <w:bCs w:val="false"/>
          <w:i w:val="false"/>
          <w:iCs w:val="false"/>
          <w:color w:val="000000" w:themeColor="text1"/>
          <w:kern w:val="2"/>
          <w:sz w:val="24"/>
          <w:szCs w:val="24"/>
          <w:lang w:val="ru-RU" w:eastAsia="zh-CN" w:bidi="ar-SA"/>
        </w:rPr>
        <w:t xml:space="preserve">Приложение № 3 -  </w:t>
      </w:r>
      <w:r>
        <w:rPr>
          <w:rStyle w:val="FontStyle12"/>
          <w:rFonts w:eastAsia="NSimSun" w:cs="Lucida Sans"/>
          <w:b w:val="false"/>
          <w:bCs w:val="false"/>
          <w:i w:val="false"/>
          <w:iCs w:val="false"/>
          <w:color w:val="000000" w:themeColor="text1"/>
          <w:kern w:val="2"/>
          <w:sz w:val="24"/>
          <w:szCs w:val="24"/>
          <w:lang w:val="ru-RU" w:eastAsia="zh-CN" w:bidi="ar-SA"/>
        </w:rPr>
        <w:t>Положение по пропускному и внутриобъектовому режимам Филиала ПАО «РусГидро» - «Жигулёвская ГЭС».</w:t>
      </w:r>
    </w:p>
    <w:p>
      <w:pPr>
        <w:pStyle w:val="Normal"/>
        <w:widowControl w:val="false"/>
        <w:suppressAutoHyphens w:val="true"/>
        <w:bidi w:val="0"/>
        <w:spacing w:before="0" w:after="0"/>
        <w:ind w:start="0" w:end="0" w:firstLine="567"/>
        <w:jc w:val="both"/>
        <w:rPr>
          <w:rStyle w:val="FontStyle12"/>
          <w:rFonts w:ascii="Times New Roman" w:hAnsi="Times New Roman" w:eastAsia="NSimSun" w:cs="Lucida Sans"/>
          <w:b w:val="false"/>
          <w:bCs w:val="false"/>
          <w:i w:val="false"/>
          <w:i w:val="false"/>
          <w:iCs w:val="false"/>
          <w:color w:val="000000" w:themeColor="text1"/>
          <w:kern w:val="2"/>
          <w:sz w:val="24"/>
          <w:szCs w:val="24"/>
          <w:lang w:val="ru-RU" w:eastAsia="zh-CN" w:bidi="ar-SA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26903529"/>
    </w:sdtPr>
    <w:sdtContent>
      <w:p>
        <w:pPr>
          <w:pStyle w:val="Header"/>
          <w:jc w:val="end"/>
          <w:rPr>
            <w:sz w:val="16"/>
            <w:szCs w:val="16"/>
          </w:rPr>
        </w:pPr>
        <w:r>
          <w:rPr>
            <w:sz w:val="16"/>
            <w:szCs w:val="16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62960775"/>
    </w:sdtPr>
    <w:sdtContent>
      <w:p>
        <w:pPr>
          <w:pStyle w:val="Header"/>
          <w:jc w:val="end"/>
          <w:rPr>
            <w:sz w:val="16"/>
            <w:szCs w:val="16"/>
          </w:rPr>
        </w:pPr>
        <w:r>
          <w:rPr>
            <w:sz w:val="16"/>
            <w:szCs w:val="16"/>
            <w:lang w:val="ru-RU"/>
          </w:rPr>
          <w:t xml:space="preserve">Страница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9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  <w:lang w:val="ru-RU"/>
          </w:rPr>
          <w:t xml:space="preserve"> из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10</w:t>
        </w:r>
        <w:r>
          <w:rPr>
            <w:sz w:val="16"/>
            <w:b/>
            <w:szCs w:val="16"/>
            <w:bCs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24056999"/>
    </w:sdtPr>
    <w:sdtContent>
      <w:p>
        <w:pPr>
          <w:pStyle w:val="Header"/>
          <w:jc w:val="end"/>
          <w:rPr>
            <w:sz w:val="16"/>
            <w:szCs w:val="16"/>
          </w:rPr>
        </w:pPr>
        <w:r>
          <w:rPr>
            <w:sz w:val="16"/>
            <w:szCs w:val="16"/>
            <w:lang w:val="ru-RU"/>
          </w:rPr>
          <w:t xml:space="preserve">Страница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10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  <w:lang w:val="ru-RU"/>
          </w:rPr>
          <w:t xml:space="preserve"> из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10</w:t>
        </w:r>
        <w:r>
          <w:rPr>
            <w:sz w:val="16"/>
            <w:b/>
            <w:szCs w:val="16"/>
            <w:bCs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smallCaps w:val="false"/>
        <w:caps w:val="false"/>
        <w:sz w:val="22"/>
        <w:spacing w:val="0"/>
        <w:i w:val="false"/>
        <w:b/>
        <w:shd w:fill="auto" w:val="clear"/>
        <w:szCs w:val="22"/>
        <w:iCs w:val="false"/>
        <w:bCs/>
        <w:rFonts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>
        <w:sz w:val="24"/>
        <w:b/>
        <w:shd w:fill="FFFFFF" w:val="clear"/>
        <w:szCs w:val="24"/>
        <w:rFonts w:cs="Times New Roman"/>
        <w:lang w:eastAsia="ar-SA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>
        <w:sz w:val="22"/>
        <w:b w:val="false"/>
        <w:szCs w:val="22"/>
        <w:bCs w:val="false"/>
        <w:rFonts w:cs="Times New Roman"/>
        <w:color w:val="000000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b w:val="false"/>
        <w:bCs w:val="false"/>
        <w:rFonts w:ascii="Times New Roman" w:hAnsi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0"/>
      </w:pPr>
      <w:rPr>
        <w:b w:val="false"/>
        <w:bCs w:val="false"/>
        <w:rFonts w:ascii="Times New Roman" w:hAnsi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0"/>
      </w:pPr>
      <w:rPr>
        <w:b w:val="false"/>
        <w:bCs w:val="false"/>
        <w:rFonts w:ascii="Times New Roman" w:hAnsi="Times New Roman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  <w:rFonts w:ascii="Times New Roman" w:hAnsi="Times New Roman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  <w:rFonts w:ascii="Times New Roman" w:hAnsi="Times New Roman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  <w:rFonts w:ascii="Times New Roman" w:hAnsi="Times New Roman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  <w:rFonts w:ascii="Times New Roman" w:hAnsi="Times New Roman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  <w:rFonts w:ascii="Times New Roman" w:hAnsi="Times New Roman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  <w:rFonts w:ascii="Times New Roman" w:hAnsi="Times New Roman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>
        <w:b w:val="false"/>
        <w:bCs w:val="false"/>
        <w:rFonts w:ascii="Times New Roman" w:hAnsi="Times New Roman"/>
      </w:rPr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  <w:rPr>
        <w:b w:val="false"/>
        <w:bCs w:val="false"/>
        <w:rFonts w:ascii="Times New Roman" w:hAnsi="Times New Roman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>
        <w:b w:val="false"/>
        <w:bCs w:val="false"/>
        <w:rFonts w:ascii="Times New Roman" w:hAnsi="Times New Roman"/>
      </w:r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>
        <w:b w:val="false"/>
        <w:bCs w:val="false"/>
        <w:rFonts w:ascii="Times New Roman" w:hAnsi="Times New Roman"/>
      </w:rPr>
    </w:lvl>
    <w:lvl w:ilvl="4">
      <w:start w:val="1"/>
      <w:numFmt w:val="decimal"/>
      <w:lvlText w:val="%5."/>
      <w:lvlJc w:val="start"/>
      <w:pPr>
        <w:tabs>
          <w:tab w:val="num" w:pos="2880"/>
        </w:tabs>
        <w:ind w:start="2880" w:hanging="360"/>
      </w:pPr>
      <w:rPr>
        <w:b w:val="false"/>
        <w:bCs w:val="false"/>
        <w:rFonts w:ascii="Times New Roman" w:hAnsi="Times New Roman"/>
      </w:rPr>
    </w:lvl>
    <w:lvl w:ilvl="5">
      <w:start w:val="1"/>
      <w:numFmt w:val="decimal"/>
      <w:lvlText w:val="%6."/>
      <w:lvlJc w:val="start"/>
      <w:pPr>
        <w:tabs>
          <w:tab w:val="num" w:pos="3240"/>
        </w:tabs>
        <w:ind w:start="3240" w:hanging="360"/>
      </w:pPr>
      <w:rPr>
        <w:b w:val="false"/>
        <w:bCs w:val="false"/>
        <w:rFonts w:ascii="Times New Roman" w:hAnsi="Times New Roman"/>
      </w:rPr>
    </w:lvl>
    <w:lvl w:ilvl="6">
      <w:start w:val="1"/>
      <w:numFmt w:val="decimal"/>
      <w:lvlText w:val="%7."/>
      <w:lvlJc w:val="start"/>
      <w:pPr>
        <w:tabs>
          <w:tab w:val="num" w:pos="3600"/>
        </w:tabs>
        <w:ind w:start="3600" w:hanging="360"/>
      </w:pPr>
      <w:rPr>
        <w:b w:val="false"/>
        <w:bCs w:val="false"/>
        <w:rFonts w:ascii="Times New Roman" w:hAnsi="Times New Roman"/>
      </w:rPr>
    </w:lvl>
    <w:lvl w:ilvl="7">
      <w:start w:val="1"/>
      <w:numFmt w:val="decimal"/>
      <w:lvlText w:val="%8."/>
      <w:lvlJc w:val="start"/>
      <w:pPr>
        <w:tabs>
          <w:tab w:val="num" w:pos="3960"/>
        </w:tabs>
        <w:ind w:start="3960" w:hanging="360"/>
      </w:pPr>
      <w:rPr>
        <w:b w:val="false"/>
        <w:bCs w:val="false"/>
        <w:rFonts w:ascii="Times New Roman" w:hAnsi="Times New Roman"/>
      </w:rPr>
    </w:lvl>
    <w:lvl w:ilvl="8">
      <w:start w:val="1"/>
      <w:numFmt w:val="decimal"/>
      <w:lvlText w:val="%9."/>
      <w:lvlJc w:val="start"/>
      <w:pPr>
        <w:tabs>
          <w:tab w:val="num" w:pos="4320"/>
        </w:tabs>
        <w:ind w:start="4320" w:hanging="360"/>
      </w:pPr>
      <w:rPr>
        <w:b w:val="false"/>
        <w:bCs w:val="false"/>
        <w:rFonts w:ascii="Times New Roman" w:hAnsi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spacing w:before="0" w:after="0"/>
      <w:ind w:start="0" w:end="0" w:firstLine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WW8Num2z0">
    <w:name w:val="WW8Num2z0"/>
    <w:qFormat/>
    <w:rPr>
      <w:rFonts w:ascii="Times New Roman" w:hAnsi="Times New Roman" w:cs="Times New Roman"/>
      <w:b/>
      <w:bCs/>
      <w:i w:val="false"/>
      <w:iCs w:val="false"/>
      <w:caps w:val="false"/>
      <w:smallCaps w:val="false"/>
      <w:color w:val="000000"/>
      <w:spacing w:val="0"/>
      <w:sz w:val="22"/>
      <w:szCs w:val="22"/>
      <w:shd w:fill="auto" w:val="clear"/>
      <w:lang w:val="ru-RU"/>
    </w:rPr>
  </w:style>
  <w:style w:type="character" w:styleId="WW8Num2z1">
    <w:name w:val="WW8Num2z1"/>
    <w:qFormat/>
    <w:rPr>
      <w:rFonts w:ascii="Times New Roman" w:hAnsi="Times New Roman" w:cs="Times New Roman"/>
      <w:b/>
      <w:sz w:val="24"/>
      <w:szCs w:val="24"/>
      <w:shd w:fill="FFFFFF" w:val="clear"/>
      <w:lang w:eastAsia="ar-SA"/>
    </w:rPr>
  </w:style>
  <w:style w:type="character" w:styleId="WW8Num2z2">
    <w:name w:val="WW8Num2z2"/>
    <w:qFormat/>
    <w:rPr>
      <w:rFonts w:cs="Times New Roman"/>
      <w:b w:val="false"/>
      <w:bCs w:val="false"/>
      <w:color w:val="000000"/>
      <w:sz w:val="22"/>
      <w:szCs w:val="22"/>
    </w:rPr>
  </w:style>
  <w:style w:type="character" w:styleId="Style7">
    <w:name w:val="комментарий"/>
    <w:qFormat/>
    <w:rPr>
      <w:b/>
      <w:i/>
      <w:shd w:fill="FFFF99" w:val="clear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Style8">
    <w:name w:val="Символ нумерации"/>
    <w:qFormat/>
    <w:rPr>
      <w:rFonts w:ascii="Times New Roman" w:hAnsi="Times New Roman"/>
      <w:b w:val="false"/>
      <w:bCs w:val="fals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start="720" w:hanging="0"/>
      <w:contextualSpacing/>
    </w:pPr>
    <w:rPr>
      <w:rFonts w:eastAsia="Calibri"/>
      <w:sz w:val="24"/>
      <w:szCs w:val="24"/>
    </w:rPr>
  </w:style>
  <w:style w:type="paragraph" w:styleId="Style11">
    <w:name w:val="Таблица шапка"/>
    <w:basedOn w:val="Normal"/>
    <w:qFormat/>
    <w:pPr>
      <w:keepNext w:val="true"/>
      <w:spacing w:before="40" w:after="40"/>
      <w:ind w:start="57" w:end="57" w:hanging="0"/>
    </w:pPr>
    <w:rPr>
      <w:sz w:val="22"/>
      <w:szCs w:val="26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13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  <w:style w:type="numbering" w:styleId="3827156211">
    <w:name w:val="3827156211"/>
    <w:qFormat/>
  </w:style>
  <w:style w:type="numbering" w:styleId="23288516591">
    <w:name w:val="23288516591"/>
    <w:qFormat/>
  </w:style>
  <w:style w:type="numbering" w:styleId="9110177401">
    <w:name w:val="9110177401"/>
    <w:qFormat/>
  </w:style>
  <w:style w:type="numbering" w:styleId="9225881641">
    <w:name w:val="92258816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2389</TotalTime>
  <Application>AlterOffice/3.4.0.9$Linux_X86_64 LibreOffice_project/b8daf9e823b1a5463a2f48435ddc2e8696e7d4fc</Application>
  <AppVersion>15.0000</AppVersion>
  <Pages>10</Pages>
  <Words>1915</Words>
  <Characters>13634</Characters>
  <CharactersWithSpaces>15342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>streletsva@corp.gidroogk.com</cp:lastModifiedBy>
  <cp:lastPrinted>2025-12-02T15:24:26Z</cp:lastPrinted>
  <dcterms:modified xsi:type="dcterms:W3CDTF">2026-06-09T16:55:20Z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