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ru-RU"/>
        </w:rPr>
        <w:t>ОКПД 2 81.29.11.000: Оказание услуг по дератизации и дезинсекции на объектах в г. Москве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295</Words>
  <Characters>1974</Characters>
  <CharactersWithSpaces>2237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2026-06-10T10:49:04Z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