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C5" w:rsidRDefault="00033F7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1353C5" w:rsidRDefault="00BD7410">
      <w:pPr>
        <w:spacing w:line="360" w:lineRule="auto"/>
        <w:ind w:firstLine="567"/>
      </w:pPr>
      <w:r w:rsidRPr="00BD7410">
        <w:rPr>
          <w:sz w:val="28"/>
          <w:szCs w:val="28"/>
        </w:rPr>
        <w:t>Информируем Вас о том, что ПАО «Ростелеком» проводит анализ рынка на</w:t>
      </w:r>
      <w:r w:rsidRPr="00BD7410">
        <w:rPr>
          <w:b/>
          <w:sz w:val="28"/>
          <w:szCs w:val="28"/>
        </w:rPr>
        <w:t xml:space="preserve"> </w:t>
      </w:r>
      <w:r w:rsidR="00033F72">
        <w:t xml:space="preserve">Выполнение работ по интеграции комплекса интеллектуальных систем безопасности с региональным сегментом ЕБС </w:t>
      </w:r>
      <w:r w:rsidR="00033F72">
        <w:t>ГБУ «</w:t>
      </w:r>
      <w:proofErr w:type="spellStart"/>
      <w:r w:rsidR="00033F72">
        <w:t>Жилищник</w:t>
      </w:r>
      <w:proofErr w:type="spellEnd"/>
      <w:r w:rsidR="00033F72">
        <w:t xml:space="preserve"> района Черемушки», </w:t>
      </w:r>
      <w:r w:rsidRPr="00BD7410">
        <w:t>с целью формирования начальной максимальной цены расходного договора.</w:t>
      </w:r>
    </w:p>
    <w:p w:rsidR="00BD7410" w:rsidRDefault="00BD7410">
      <w:pPr>
        <w:spacing w:line="360" w:lineRule="auto"/>
        <w:ind w:firstLine="567"/>
      </w:pPr>
      <w:r w:rsidRPr="00BD7410">
        <w:t>Просим вас предоставить технико-коммерческое предложение для запланированной закупки на Выполнение работ по интеграции комплекса интеллектуальных систем безопасности с региональным сегментом ЕБС ГБУ «</w:t>
      </w:r>
      <w:proofErr w:type="spellStart"/>
      <w:r w:rsidRPr="00BD7410">
        <w:t>Жилищник</w:t>
      </w:r>
      <w:proofErr w:type="spellEnd"/>
      <w:r w:rsidRPr="00BD7410">
        <w:t xml:space="preserve"> района Черемушки»</w:t>
      </w:r>
      <w:r>
        <w:t>.</w:t>
      </w:r>
    </w:p>
    <w:p w:rsidR="001353C5" w:rsidRDefault="00033F72" w:rsidP="00BD7410">
      <w:pPr>
        <w:spacing w:line="360" w:lineRule="auto"/>
        <w:ind w:firstLine="567"/>
        <w:jc w:val="right"/>
      </w:pPr>
      <w:r>
        <w:t xml:space="preserve">Таблица 1. Общие условия </w:t>
      </w:r>
    </w:p>
    <w:p w:rsidR="001353C5" w:rsidRDefault="001353C5">
      <w:pPr>
        <w:jc w:val="right"/>
      </w:pPr>
    </w:p>
    <w:tbl>
      <w:tblPr>
        <w:tblStyle w:val="af3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1353C5">
        <w:tc>
          <w:tcPr>
            <w:tcW w:w="9067" w:type="dxa"/>
          </w:tcPr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 xml:space="preserve">Сроки проведения закупки в </w:t>
            </w:r>
            <w:r>
              <w:rPr>
                <w:rFonts w:eastAsia="Calibri"/>
                <w:b/>
                <w:sz w:val="22"/>
              </w:rPr>
              <w:t>соответствии с Планом закупок</w:t>
            </w:r>
          </w:p>
        </w:tc>
        <w:tc>
          <w:tcPr>
            <w:tcW w:w="2161" w:type="dxa"/>
          </w:tcPr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b/>
                <w:sz w:val="22"/>
              </w:rPr>
              <w:t>Сроки предоставления информации, до</w:t>
            </w:r>
          </w:p>
        </w:tc>
      </w:tr>
      <w:tr w:rsidR="001353C5">
        <w:tc>
          <w:tcPr>
            <w:tcW w:w="9067" w:type="dxa"/>
          </w:tcPr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Соответствие требованием установленным законодательством РФ к участникам в соответствии с предметом закупки</w:t>
            </w:r>
          </w:p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 Отсутствие в реестре РНП</w:t>
            </w:r>
          </w:p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 Отсутствие возбужденных дел о банкротстве/несостояте</w:t>
            </w:r>
            <w:r>
              <w:rPr>
                <w:rFonts w:eastAsia="Calibri"/>
                <w:i/>
              </w:rPr>
              <w:t>льности</w:t>
            </w:r>
          </w:p>
        </w:tc>
        <w:tc>
          <w:tcPr>
            <w:tcW w:w="3651" w:type="dxa"/>
          </w:tcPr>
          <w:p w:rsidR="001353C5" w:rsidRDefault="00033F72">
            <w:pPr>
              <w:ind w:firstLine="0"/>
              <w:rPr>
                <w:i/>
              </w:rPr>
            </w:pPr>
            <w:r>
              <w:rPr>
                <w:rFonts w:eastAsia="Calibri"/>
                <w:i/>
              </w:rPr>
              <w:t>-</w:t>
            </w:r>
          </w:p>
        </w:tc>
        <w:tc>
          <w:tcPr>
            <w:tcW w:w="2161" w:type="dxa"/>
          </w:tcPr>
          <w:p w:rsidR="001353C5" w:rsidRDefault="00033F72">
            <w:pPr>
              <w:ind w:firstLine="0"/>
              <w:rPr>
                <w:i/>
                <w:lang w:val="en-US"/>
              </w:rPr>
            </w:pPr>
            <w:r>
              <w:rPr>
                <w:rFonts w:eastAsia="Calibri"/>
                <w:i/>
              </w:rPr>
              <w:t>До 15:00 18.06.2026</w:t>
            </w:r>
          </w:p>
        </w:tc>
      </w:tr>
    </w:tbl>
    <w:p w:rsidR="001353C5" w:rsidRDefault="001353C5">
      <w:pPr>
        <w:jc w:val="right"/>
      </w:pPr>
    </w:p>
    <w:p w:rsidR="001353C5" w:rsidRDefault="00033F72">
      <w:pPr>
        <w:jc w:val="right"/>
      </w:pPr>
      <w:r>
        <w:t>Таблица 2. Закупаемые товары, работы, услуги</w:t>
      </w:r>
    </w:p>
    <w:p w:rsidR="001353C5" w:rsidRDefault="001353C5">
      <w:pPr>
        <w:jc w:val="right"/>
      </w:pPr>
    </w:p>
    <w:tbl>
      <w:tblPr>
        <w:tblStyle w:val="af3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297"/>
        <w:gridCol w:w="2127"/>
        <w:gridCol w:w="4109"/>
        <w:gridCol w:w="3687"/>
        <w:gridCol w:w="2125"/>
      </w:tblGrid>
      <w:tr w:rsidR="001353C5">
        <w:tc>
          <w:tcPr>
            <w:tcW w:w="425" w:type="dxa"/>
          </w:tcPr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№ п/п</w:t>
            </w:r>
          </w:p>
        </w:tc>
        <w:tc>
          <w:tcPr>
            <w:tcW w:w="2297" w:type="dxa"/>
          </w:tcPr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Наименование товара,</w:t>
            </w:r>
          </w:p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работы, услуги</w:t>
            </w:r>
          </w:p>
        </w:tc>
        <w:tc>
          <w:tcPr>
            <w:tcW w:w="2127" w:type="dxa"/>
          </w:tcPr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Назначение товара,</w:t>
            </w:r>
          </w:p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работы, услуги</w:t>
            </w:r>
          </w:p>
        </w:tc>
        <w:tc>
          <w:tcPr>
            <w:tcW w:w="4109" w:type="dxa"/>
          </w:tcPr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Основные условия поставки товаров (выполнения работ, оказания услуг), включая сроки и требования к </w:t>
            </w:r>
            <w:r>
              <w:rPr>
                <w:rFonts w:eastAsia="Calibri"/>
                <w:b/>
                <w:sz w:val="24"/>
                <w:szCs w:val="24"/>
              </w:rPr>
              <w:t>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3687" w:type="dxa"/>
          </w:tcPr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Технические и иные характеристики товара, особенности предоставляемых услуг</w:t>
            </w:r>
            <w:r>
              <w:rPr>
                <w:rFonts w:eastAsia="Calibri"/>
                <w:b/>
                <w:sz w:val="24"/>
                <w:szCs w:val="24"/>
              </w:rPr>
              <w:t>, проводимых работ</w:t>
            </w:r>
          </w:p>
        </w:tc>
        <w:tc>
          <w:tcPr>
            <w:tcW w:w="2125" w:type="dxa"/>
          </w:tcPr>
          <w:p w:rsidR="001353C5" w:rsidRDefault="00033F7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Количество товара, объем работ, услуг</w:t>
            </w:r>
          </w:p>
        </w:tc>
      </w:tr>
      <w:tr w:rsidR="001353C5">
        <w:trPr>
          <w:trHeight w:val="7379"/>
        </w:trPr>
        <w:tc>
          <w:tcPr>
            <w:tcW w:w="425" w:type="dxa"/>
          </w:tcPr>
          <w:p w:rsidR="001353C5" w:rsidRDefault="001353C5">
            <w:pPr>
              <w:pStyle w:val="ae"/>
              <w:numPr>
                <w:ilvl w:val="0"/>
                <w:numId w:val="1"/>
              </w:numPr>
              <w:ind w:left="34" w:firstLine="0"/>
              <w:rPr>
                <w:sz w:val="24"/>
                <w:szCs w:val="24"/>
              </w:rPr>
            </w:pPr>
          </w:p>
        </w:tc>
        <w:tc>
          <w:tcPr>
            <w:tcW w:w="2297" w:type="dxa"/>
          </w:tcPr>
          <w:p w:rsidR="001353C5" w:rsidRDefault="00033F72" w:rsidP="00BD7410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Выполнение работ </w:t>
            </w:r>
          </w:p>
        </w:tc>
        <w:tc>
          <w:tcPr>
            <w:tcW w:w="2127" w:type="dxa"/>
          </w:tcPr>
          <w:p w:rsidR="001353C5" w:rsidRDefault="00033F72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>
              <w:rPr>
                <w:rFonts w:eastAsia="Calibri"/>
                <w:sz w:val="24"/>
                <w:szCs w:val="24"/>
              </w:rPr>
              <w:t xml:space="preserve">ыполнение работ по интеграции комплекса интеллектуальных </w:t>
            </w:r>
            <w:r>
              <w:rPr>
                <w:rFonts w:eastAsia="Calibri"/>
                <w:sz w:val="24"/>
                <w:szCs w:val="24"/>
              </w:rPr>
              <w:t>систем безопасности с региональным сегментом ЕБС ГБУ «</w:t>
            </w:r>
            <w:proofErr w:type="spellStart"/>
            <w:r>
              <w:rPr>
                <w:rFonts w:eastAsia="Calibri"/>
                <w:sz w:val="24"/>
                <w:szCs w:val="24"/>
              </w:rPr>
              <w:t>Жилищник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района Черемушки»</w:t>
            </w:r>
          </w:p>
        </w:tc>
        <w:tc>
          <w:tcPr>
            <w:tcW w:w="4109" w:type="dxa"/>
          </w:tcPr>
          <w:p w:rsidR="001353C5" w:rsidRDefault="00033F72">
            <w:pPr>
              <w:pStyle w:val="ae"/>
              <w:ind w:left="360" w:firstLine="0"/>
              <w:jc w:val="left"/>
              <w:rPr>
                <w:color w:val="000000"/>
                <w:sz w:val="24"/>
                <w:szCs w:val="24"/>
                <w:lang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Срок выполнения работ: с даты заключения Договора 60 календарных дней.</w:t>
            </w:r>
          </w:p>
          <w:p w:rsidR="001353C5" w:rsidRDefault="00033F72">
            <w:pPr>
              <w:pStyle w:val="ae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Аванс не предусмотрен</w:t>
            </w:r>
          </w:p>
          <w:p w:rsidR="001353C5" w:rsidRDefault="00033F72">
            <w:pPr>
              <w:pStyle w:val="ae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Окончательный расчет осуществляется Заказчиком путем безналичного перечисления ден</w:t>
            </w:r>
            <w:r>
              <w:rPr>
                <w:sz w:val="24"/>
                <w:szCs w:val="24"/>
              </w:rPr>
              <w:t>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</w:t>
            </w:r>
            <w:r>
              <w:rPr>
                <w:sz w:val="24"/>
                <w:szCs w:val="24"/>
              </w:rPr>
              <w:t>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</w:t>
            </w:r>
          </w:p>
          <w:p w:rsidR="001353C5" w:rsidRDefault="00033F72">
            <w:pPr>
              <w:pStyle w:val="ae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Принимаются альтернативные условия оплаты</w:t>
            </w:r>
          </w:p>
          <w:p w:rsidR="001353C5" w:rsidRDefault="00033F72">
            <w:pPr>
              <w:pStyle w:val="ae"/>
              <w:ind w:left="36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оказания услуг: г. Москва</w:t>
            </w:r>
          </w:p>
        </w:tc>
        <w:tc>
          <w:tcPr>
            <w:tcW w:w="3687" w:type="dxa"/>
          </w:tcPr>
          <w:p w:rsidR="001353C5" w:rsidRDefault="00033F72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соответствии с техническими заданием</w:t>
            </w:r>
          </w:p>
        </w:tc>
        <w:tc>
          <w:tcPr>
            <w:tcW w:w="2125" w:type="dxa"/>
          </w:tcPr>
          <w:p w:rsidR="001353C5" w:rsidRDefault="00033F72">
            <w:pPr>
              <w:ind w:firstLine="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 соответствии с техническими заданием</w:t>
            </w:r>
          </w:p>
        </w:tc>
      </w:tr>
    </w:tbl>
    <w:p w:rsidR="001353C5" w:rsidRDefault="001353C5">
      <w:pPr>
        <w:spacing w:line="360" w:lineRule="auto"/>
        <w:ind w:firstLine="567"/>
        <w:jc w:val="left"/>
        <w:rPr>
          <w:sz w:val="20"/>
          <w:szCs w:val="20"/>
        </w:rPr>
      </w:pPr>
    </w:p>
    <w:p w:rsidR="00BD7410" w:rsidRDefault="00BD7410" w:rsidP="00BD7410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BD7410" w:rsidRDefault="00BD7410" w:rsidP="00BD7410">
      <w:pPr>
        <w:numPr>
          <w:ilvl w:val="0"/>
          <w:numId w:val="3"/>
        </w:numPr>
        <w:contextualSpacing/>
        <w:rPr>
          <w:i/>
        </w:rPr>
      </w:pPr>
      <w:r>
        <w:rPr>
          <w:i/>
        </w:rPr>
        <w:t>анкета участника;</w:t>
      </w:r>
    </w:p>
    <w:p w:rsidR="00BD7410" w:rsidRDefault="00BD7410" w:rsidP="00BD7410">
      <w:pPr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BD7410" w:rsidRDefault="00BD7410" w:rsidP="00BD7410">
      <w:pPr>
        <w:ind w:left="1069" w:firstLine="0"/>
        <w:rPr>
          <w:i/>
        </w:rPr>
      </w:pPr>
    </w:p>
    <w:p w:rsidR="00BD7410" w:rsidRDefault="00BD7410" w:rsidP="00BD7410">
      <w:pPr>
        <w:numPr>
          <w:ilvl w:val="0"/>
          <w:numId w:val="3"/>
        </w:numPr>
        <w:contextualSpacing/>
        <w:rPr>
          <w:i/>
        </w:rPr>
      </w:pPr>
      <w:r>
        <w:rPr>
          <w:i/>
        </w:rPr>
        <w:t>технико-коммерческое предложение;</w:t>
      </w:r>
    </w:p>
    <w:p w:rsidR="00BD7410" w:rsidRDefault="00BD7410" w:rsidP="00BD7410">
      <w:pPr>
        <w:ind w:left="1069" w:firstLine="0"/>
        <w:rPr>
          <w:i/>
        </w:rPr>
      </w:pPr>
      <w:r>
        <w:t>Приложено отдельным файлом «Приложение № 2 ТКП»</w:t>
      </w:r>
    </w:p>
    <w:p w:rsidR="00BD7410" w:rsidRDefault="00BD7410" w:rsidP="00BD7410">
      <w:pPr>
        <w:ind w:left="1069" w:firstLine="0"/>
        <w:rPr>
          <w:i/>
        </w:rPr>
      </w:pPr>
    </w:p>
    <w:p w:rsidR="00BD7410" w:rsidRDefault="00BD7410" w:rsidP="00BD7410">
      <w:pPr>
        <w:numPr>
          <w:ilvl w:val="0"/>
          <w:numId w:val="3"/>
        </w:numPr>
        <w:contextualSpacing/>
        <w:rPr>
          <w:i/>
        </w:rPr>
      </w:pPr>
      <w:r>
        <w:rPr>
          <w:i/>
        </w:rPr>
        <w:t>иные документы и условия (при необходимости)</w:t>
      </w:r>
    </w:p>
    <w:p w:rsidR="00BD7410" w:rsidRDefault="00BD7410" w:rsidP="00BD7410">
      <w:pPr>
        <w:spacing w:line="360" w:lineRule="auto"/>
        <w:ind w:firstLine="567"/>
        <w:jc w:val="left"/>
      </w:pPr>
    </w:p>
    <w:p w:rsidR="00BD7410" w:rsidRDefault="00BD7410" w:rsidP="00BD7410">
      <w:pPr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15-00 18</w:t>
      </w:r>
      <w:r>
        <w:rPr>
          <w:b/>
        </w:rPr>
        <w:t xml:space="preserve"> июня 2026 года </w:t>
      </w:r>
      <w:r>
        <w:t xml:space="preserve">по электронной почте </w:t>
      </w:r>
      <w:hyperlink r:id="rId5">
        <w:r>
          <w:rPr>
            <w:rStyle w:val="a7"/>
            <w:rFonts w:ascii="Times New Roman;serif" w:hAnsi="Times New Roman;serif"/>
            <w:b/>
            <w:color w:val="954F72"/>
          </w:rPr>
          <w:t>m.akimova@volga.rt.ru</w:t>
        </w:r>
      </w:hyperlink>
      <w:r>
        <w:t xml:space="preserve">  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6">
        <w:r>
          <w:rPr>
            <w:sz w:val="22"/>
          </w:rPr>
          <w:t xml:space="preserve"> </w:t>
        </w:r>
      </w:hyperlink>
      <w:hyperlink r:id="rId7">
        <w:r>
          <w:rPr>
            <w:rStyle w:val="a7"/>
            <w:rFonts w:ascii="Times New Roman;Times;serif" w:hAnsi="Times New Roman;Times;serif"/>
            <w:b/>
          </w:rPr>
          <w:t>https://lot-online.ru/</w:t>
        </w:r>
      </w:hyperlink>
    </w:p>
    <w:p w:rsidR="00BD7410" w:rsidRDefault="00BD7410" w:rsidP="00BD7410">
      <w:r>
        <w:t xml:space="preserve"> В теме письма указать:</w:t>
      </w:r>
      <w:r>
        <w:t xml:space="preserve"> «RFI № __________</w:t>
      </w:r>
      <w:proofErr w:type="gramStart"/>
      <w:r>
        <w:t xml:space="preserve">_:  </w:t>
      </w:r>
      <w:r w:rsidRPr="00BD7410">
        <w:t>Выполнение</w:t>
      </w:r>
      <w:proofErr w:type="gramEnd"/>
      <w:r w:rsidRPr="00BD7410">
        <w:t xml:space="preserve"> работ по интеграции комплекса интеллектуальных систем безопасности с региональным сегментом ЕБС ГБУ «</w:t>
      </w:r>
      <w:proofErr w:type="spellStart"/>
      <w:r w:rsidRPr="00BD7410">
        <w:t>Жилищник</w:t>
      </w:r>
      <w:proofErr w:type="spellEnd"/>
      <w:r w:rsidRPr="00BD7410">
        <w:t xml:space="preserve"> района Черемушки»</w:t>
      </w:r>
      <w:r>
        <w:t>.</w:t>
      </w:r>
    </w:p>
    <w:p w:rsidR="00BD7410" w:rsidRDefault="00BD7410" w:rsidP="00BD7410">
      <w:pPr>
        <w:spacing w:line="360" w:lineRule="auto"/>
        <w:ind w:firstLine="567"/>
        <w:jc w:val="left"/>
        <w:rPr>
          <w:sz w:val="20"/>
        </w:rPr>
      </w:pPr>
      <w:bookmarkStart w:id="0" w:name="_GoBack"/>
      <w:bookmarkEnd w:id="0"/>
    </w:p>
    <w:sectPr w:rsidR="00BD7410">
      <w:pgSz w:w="16838" w:h="11906" w:orient="landscape"/>
      <w:pgMar w:top="851" w:right="1134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C0285"/>
    <w:multiLevelType w:val="multilevel"/>
    <w:tmpl w:val="C74094E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E960DA"/>
    <w:multiLevelType w:val="multilevel"/>
    <w:tmpl w:val="91A60FB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3C5"/>
    <w:rsid w:val="00033F72"/>
    <w:rsid w:val="001353C5"/>
    <w:rsid w:val="00B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BFFA"/>
  <w15:docId w15:val="{7E65A4DC-228A-4ACE-9CE0-86AB6863F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F25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6F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6F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E6F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6F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E6F25"/>
    <w:pPr>
      <w:keepNext/>
      <w:outlineLvl w:val="4"/>
    </w:pPr>
    <w:rPr>
      <w:rFonts w:eastAsia="Times New Roman"/>
      <w:b/>
      <w:i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74556"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link w:val="70"/>
    <w:qFormat/>
    <w:rsid w:val="00BE6F25"/>
    <w:pPr>
      <w:tabs>
        <w:tab w:val="left" w:pos="3469"/>
      </w:tabs>
      <w:spacing w:before="240" w:after="60"/>
      <w:ind w:left="3469" w:hanging="1296"/>
      <w:outlineLvl w:val="6"/>
    </w:pPr>
    <w:rPr>
      <w:rFonts w:eastAsia="Times New Roman"/>
    </w:rPr>
  </w:style>
  <w:style w:type="paragraph" w:styleId="8">
    <w:name w:val="heading 8"/>
    <w:basedOn w:val="a"/>
    <w:next w:val="a"/>
    <w:link w:val="80"/>
    <w:uiPriority w:val="9"/>
    <w:unhideWhenUsed/>
    <w:qFormat/>
    <w:rsid w:val="00374556"/>
    <w:pPr>
      <w:keepNext/>
      <w:spacing w:line="360" w:lineRule="auto"/>
      <w:ind w:firstLine="0"/>
      <w:jc w:val="left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E6F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BE6F25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BE6F25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BE6F25"/>
    <w:rPr>
      <w:rFonts w:eastAsia="Times New Roman"/>
      <w:b/>
      <w:i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qFormat/>
    <w:rsid w:val="00BE6F25"/>
    <w:rPr>
      <w:rFonts w:eastAsia="Times New Roman"/>
      <w:lang w:eastAsia="ru-RU"/>
    </w:rPr>
  </w:style>
  <w:style w:type="character" w:customStyle="1" w:styleId="60">
    <w:name w:val="Заголовок 6 Знак"/>
    <w:basedOn w:val="a0"/>
    <w:link w:val="6"/>
    <w:uiPriority w:val="9"/>
    <w:qFormat/>
    <w:rsid w:val="00374556"/>
    <w:rPr>
      <w:i/>
    </w:rPr>
  </w:style>
  <w:style w:type="character" w:customStyle="1" w:styleId="80">
    <w:name w:val="Заголовок 8 Знак"/>
    <w:basedOn w:val="a0"/>
    <w:link w:val="8"/>
    <w:uiPriority w:val="9"/>
    <w:qFormat/>
    <w:rsid w:val="00374556"/>
    <w:rPr>
      <w:b/>
      <w:bCs/>
    </w:rPr>
  </w:style>
  <w:style w:type="character" w:customStyle="1" w:styleId="a3">
    <w:name w:val="Основной текст с отступом Знак"/>
    <w:basedOn w:val="a0"/>
    <w:link w:val="a4"/>
    <w:qFormat/>
    <w:rsid w:val="002E1A6D"/>
    <w:rPr>
      <w:rFonts w:eastAsia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2E1A6D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97AE9"/>
    <w:rPr>
      <w:color w:val="0563C1"/>
      <w:u w:val="single"/>
    </w:rPr>
  </w:style>
  <w:style w:type="character" w:styleId="a8">
    <w:name w:val="Strong"/>
    <w:basedOn w:val="a0"/>
    <w:uiPriority w:val="22"/>
    <w:qFormat/>
    <w:rsid w:val="00781C31"/>
    <w:rPr>
      <w:b/>
      <w:bCs/>
    </w:rPr>
  </w:style>
  <w:style w:type="character" w:customStyle="1" w:styleId="copytarget">
    <w:name w:val="copy_target"/>
    <w:basedOn w:val="a0"/>
    <w:qFormat/>
    <w:rsid w:val="00781C31"/>
  </w:style>
  <w:style w:type="character" w:customStyle="1" w:styleId="user">
    <w:name w:val="Символ нумерации (user)"/>
    <w:qFormat/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Noto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ad">
    <w:name w:val="index heading"/>
    <w:basedOn w:val="user0"/>
  </w:style>
  <w:style w:type="paragraph" w:customStyle="1" w:styleId="user0">
    <w:name w:val="Заголовок (user)"/>
    <w:basedOn w:val="a"/>
    <w:next w:val="aa"/>
    <w:qFormat/>
    <w:pPr>
      <w:keepNext/>
      <w:spacing w:before="240" w:after="120"/>
    </w:pPr>
    <w:rPr>
      <w:rFonts w:ascii="Liberation Sans" w:eastAsia="Tahoma" w:hAnsi="Liberation Sans" w:cs="Noto Sans"/>
      <w:sz w:val="28"/>
      <w:szCs w:val="28"/>
    </w:rPr>
  </w:style>
  <w:style w:type="paragraph" w:customStyle="1" w:styleId="user1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Times12">
    <w:name w:val="Times 12"/>
    <w:basedOn w:val="a"/>
    <w:uiPriority w:val="99"/>
    <w:qFormat/>
    <w:rsid w:val="00BE6F25"/>
    <w:pPr>
      <w:overflowPunct w:val="0"/>
      <w:ind w:firstLine="567"/>
    </w:pPr>
    <w:rPr>
      <w:rFonts w:eastAsia="Times New Roman"/>
      <w:bCs/>
    </w:rPr>
  </w:style>
  <w:style w:type="paragraph" w:styleId="ae">
    <w:name w:val="List Paragraph"/>
    <w:basedOn w:val="a"/>
    <w:uiPriority w:val="34"/>
    <w:qFormat/>
    <w:rsid w:val="00BE6F25"/>
    <w:pPr>
      <w:ind w:left="720"/>
      <w:contextualSpacing/>
    </w:pPr>
    <w:rPr>
      <w:rFonts w:eastAsia="Times New Roman"/>
    </w:rPr>
  </w:style>
  <w:style w:type="paragraph" w:styleId="af">
    <w:name w:val="TOC Heading"/>
    <w:basedOn w:val="1"/>
    <w:next w:val="a"/>
    <w:uiPriority w:val="39"/>
    <w:semiHidden/>
    <w:unhideWhenUsed/>
    <w:qFormat/>
    <w:rsid w:val="00BE6F25"/>
    <w:pPr>
      <w:spacing w:line="276" w:lineRule="auto"/>
      <w:outlineLvl w:val="9"/>
    </w:pPr>
  </w:style>
  <w:style w:type="paragraph" w:styleId="a4">
    <w:name w:val="Body Text Indent"/>
    <w:basedOn w:val="a"/>
    <w:link w:val="a3"/>
    <w:rsid w:val="002E1A6D"/>
    <w:pPr>
      <w:spacing w:after="120"/>
      <w:ind w:left="283" w:firstLine="0"/>
      <w:jc w:val="left"/>
    </w:pPr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qFormat/>
    <w:rsid w:val="002E1A6D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560000"/>
    <w:rPr>
      <w:rFonts w:eastAsia="Calibri"/>
      <w:color w:val="000000"/>
      <w:sz w:val="24"/>
      <w:szCs w:val="24"/>
    </w:rPr>
  </w:style>
  <w:style w:type="paragraph" w:customStyle="1" w:styleId="user2">
    <w:name w:val="Содержимое врезки (user)"/>
    <w:basedOn w:val="a"/>
    <w:qFormat/>
  </w:style>
  <w:style w:type="paragraph" w:customStyle="1" w:styleId="user3">
    <w:name w:val="Содержимое таблицы (user)"/>
    <w:basedOn w:val="a"/>
    <w:qFormat/>
    <w:pPr>
      <w:widowControl w:val="0"/>
      <w:suppressLineNumbers/>
    </w:pPr>
  </w:style>
  <w:style w:type="paragraph" w:customStyle="1" w:styleId="user4">
    <w:name w:val="Заголовок таблицы (user)"/>
    <w:basedOn w:val="user3"/>
    <w:qFormat/>
    <w:pPr>
      <w:jc w:val="center"/>
    </w:pPr>
    <w:rPr>
      <w:b/>
      <w:bCs/>
    </w:rPr>
  </w:style>
  <w:style w:type="paragraph" w:customStyle="1" w:styleId="af0">
    <w:name w:val="Содержимое врезки"/>
    <w:basedOn w:val="a"/>
    <w:qFormat/>
  </w:style>
  <w:style w:type="paragraph" w:customStyle="1" w:styleId="af1">
    <w:name w:val="Содержимое таблицы"/>
    <w:basedOn w:val="a"/>
    <w:qFormat/>
    <w:pPr>
      <w:widowControl w:val="0"/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numbering" w:customStyle="1" w:styleId="user5">
    <w:name w:val="Без списка (user)"/>
    <w:uiPriority w:val="99"/>
    <w:semiHidden/>
    <w:unhideWhenUsed/>
    <w:qFormat/>
  </w:style>
  <w:style w:type="table" w:styleId="af3">
    <w:name w:val="Table Grid"/>
    <w:basedOn w:val="a1"/>
    <w:uiPriority w:val="59"/>
    <w:rsid w:val="00374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t-onlin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nder.lot-online.ru/" TargetMode="External"/><Relationship Id="rId5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509</Words>
  <Characters>2902</Characters>
  <Application>Microsoft Office Word</Application>
  <DocSecurity>0</DocSecurity>
  <Lines>24</Lines>
  <Paragraphs>6</Paragraphs>
  <ScaleCrop>false</ScaleCrop>
  <Company>vdi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dc:description/>
  <cp:lastModifiedBy>Акимова Марина Сергеевна</cp:lastModifiedBy>
  <cp:revision>29</cp:revision>
  <cp:lastPrinted>2016-01-27T11:22:00Z</cp:lastPrinted>
  <dcterms:created xsi:type="dcterms:W3CDTF">2025-06-05T10:21:00Z</dcterms:created>
  <dcterms:modified xsi:type="dcterms:W3CDTF">2026-06-10T09:57:00Z</dcterms:modified>
  <dc:language>ru-RU</dc:language>
</cp:coreProperties>
</file>