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1"/>
        <w:spacing w:lineRule="auto" w:line="264"/>
        <w:ind w:left="9020" w:hanging="3350"/>
        <w:rPr>
          <w:color w:val="332E2D"/>
          <w:spacing w:val="2"/>
        </w:rPr>
      </w:pPr>
      <w:r>
        <w:rPr>
          <w:bCs/>
          <w:sz w:val="24"/>
          <w:szCs w:val="24"/>
        </w:rPr>
      </w:r>
    </w:p>
    <w:p>
      <w:pPr>
        <w:pStyle w:val="Normal"/>
        <w:keepNext w:val="true"/>
        <w:keepLines/>
        <w:jc w:val="center"/>
        <w:rPr>
          <w:rFonts w:eastAsia="Calibri"/>
          <w:b/>
          <w:sz w:val="26"/>
          <w:szCs w:val="26"/>
        </w:rPr>
      </w:pPr>
      <w:r>
        <w:rPr>
          <w:rFonts w:eastAsia="Calibri"/>
          <w:b/>
          <w:sz w:val="26"/>
          <w:szCs w:val="26"/>
        </w:rPr>
      </w:r>
      <w:bookmarkStart w:id="0" w:name="_Toc139856287"/>
      <w:bookmarkStart w:id="1" w:name="_Toc137554584"/>
      <w:bookmarkStart w:id="2" w:name="_Toc141696704"/>
      <w:bookmarkStart w:id="3" w:name="_Toc139856287"/>
      <w:bookmarkStart w:id="4" w:name="_Toc137554584"/>
      <w:bookmarkStart w:id="5" w:name="_Toc141696704"/>
      <w:bookmarkEnd w:id="3"/>
      <w:bookmarkEnd w:id="4"/>
      <w:bookmarkEnd w:id="5"/>
    </w:p>
    <w:p>
      <w:pPr>
        <w:pStyle w:val="Normal"/>
        <w:keepNext w:val="true"/>
        <w:keepLines/>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bookmarkStart w:id="6" w:name="_Toc1398562871"/>
      <w:bookmarkStart w:id="7" w:name="_Toc1416967041"/>
      <w:bookmarkStart w:id="8" w:name="_Toc1375545841"/>
      <w:bookmarkStart w:id="9" w:name="_Toc1398562871"/>
      <w:bookmarkStart w:id="10" w:name="_Toc1416967041"/>
      <w:bookmarkStart w:id="11" w:name="_Toc1375545841"/>
      <w:bookmarkEnd w:id="9"/>
      <w:bookmarkEnd w:id="10"/>
      <w:bookmarkEnd w:id="11"/>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w:t>
      </w:r>
    </w:p>
    <w:p>
      <w:pPr>
        <w:pStyle w:val="Normal"/>
        <w:keepNext w:val="true"/>
        <w:keepLines/>
        <w:jc w:val="center"/>
        <w:rPr>
          <w:rFonts w:eastAsia="Calibri"/>
          <w:b/>
          <w:sz w:val="26"/>
          <w:szCs w:val="26"/>
        </w:rPr>
      </w:pPr>
      <w:r>
        <w:rPr>
          <w:rFonts w:eastAsia="Calibri"/>
          <w:b/>
          <w:sz w:val="26"/>
          <w:szCs w:val="26"/>
        </w:rPr>
      </w:r>
    </w:p>
    <w:p>
      <w:pPr>
        <w:pStyle w:val="Normal"/>
        <w:widowControl w:val="false"/>
        <w:tabs>
          <w:tab w:val="clear" w:pos="708"/>
          <w:tab w:val="left" w:pos="426" w:leader="none"/>
        </w:tabs>
        <w:spacing w:before="120" w:after="120"/>
        <w:jc w:val="center"/>
        <w:rPr>
          <w:rStyle w:val="Style8"/>
          <w:rFonts w:eastAsia="Calibri" w:cs="Times New Roman"/>
          <w:bCs/>
          <w:i w:val="false"/>
          <w:i w:val="false"/>
          <w:caps w:val="false"/>
          <w:smallCaps w:val="false"/>
          <w:color w:val="333333"/>
          <w:spacing w:val="0"/>
          <w:kern w:val="0"/>
          <w:sz w:val="26"/>
          <w:szCs w:val="26"/>
          <w:shd w:fill="auto" w:val="clear"/>
          <w:lang w:val="ru-RU" w:eastAsia="ru-RU" w:bidi="ar-SA"/>
        </w:rPr>
      </w:pPr>
      <w:r>
        <w:rPr>
          <w:rFonts w:eastAsia="Calibri"/>
          <w:b/>
          <w:bCs/>
          <w:sz w:val="26"/>
          <w:szCs w:val="26"/>
        </w:rPr>
        <w:t>«</w:t>
      </w:r>
      <w:r>
        <w:rPr>
          <w:rStyle w:val="Style8"/>
          <w:rFonts w:eastAsia="Calibri" w:cs="Times New Roman"/>
          <w:bCs/>
          <w:i w:val="false"/>
          <w:color w:val="000000"/>
          <w:kern w:val="0"/>
          <w:sz w:val="26"/>
          <w:szCs w:val="26"/>
          <w:shd w:fill="auto" w:val="clear"/>
          <w:lang w:val="ru-RU" w:eastAsia="ru-RU" w:bidi="ar-SA"/>
        </w:rPr>
        <w:t xml:space="preserve">ОКПД2 </w:t>
      </w:r>
      <w:r>
        <w:rPr>
          <w:rStyle w:val="Style8"/>
          <w:rFonts w:eastAsia="Times New Roman" w:cs="Times New Roman"/>
          <w:b/>
          <w:bCs/>
          <w:i w:val="false"/>
          <w:strike w:val="false"/>
          <w:dstrike w:val="false"/>
          <w:outline w:val="false"/>
          <w:shadow w:val="false"/>
          <w:color w:val="auto"/>
          <w:kern w:val="0"/>
          <w:sz w:val="28"/>
          <w:szCs w:val="28"/>
          <w:u w:val="none"/>
          <w:em w:val="none"/>
          <w:lang w:val="ru-RU" w:eastAsia="ru-RU" w:bidi="ar-SA"/>
        </w:rPr>
        <w:t> </w:t>
      </w:r>
      <w:r>
        <w:rPr>
          <w:rStyle w:val="Style8"/>
          <w:rFonts w:eastAsia="Calibri" w:cs="Times New Roman"/>
          <w:bCs/>
          <w:i w:val="false"/>
          <w:color w:val="000000"/>
          <w:kern w:val="0"/>
          <w:sz w:val="26"/>
          <w:szCs w:val="26"/>
          <w:shd w:fill="auto" w:val="clear"/>
          <w:lang w:val="ru-RU" w:eastAsia="ru-RU" w:bidi="ar-SA"/>
        </w:rPr>
        <w:t>28.14.20.112</w:t>
      </w:r>
      <w:r>
        <w:rPr>
          <w:rStyle w:val="Style8"/>
          <w:rFonts w:eastAsia="Times New Roman" w:cs="Times New Roman"/>
          <w:b/>
          <w:bCs/>
          <w:i w:val="false"/>
          <w:strike w:val="false"/>
          <w:dstrike w:val="false"/>
          <w:outline w:val="false"/>
          <w:shadow w:val="false"/>
          <w:color w:val="auto"/>
          <w:kern w:val="0"/>
          <w:sz w:val="28"/>
          <w:szCs w:val="28"/>
          <w:u w:val="none"/>
          <w:em w:val="none"/>
          <w:lang w:val="ru-RU" w:eastAsia="ru-RU" w:bidi="ar-SA"/>
        </w:rPr>
        <w:t> </w:t>
      </w:r>
    </w:p>
    <w:p>
      <w:pPr>
        <w:pStyle w:val="Normal"/>
        <w:widowControl w:val="false"/>
        <w:tabs>
          <w:tab w:val="clear" w:pos="708"/>
          <w:tab w:val="left" w:pos="426" w:leader="none"/>
        </w:tabs>
        <w:spacing w:before="120" w:after="120"/>
        <w:jc w:val="center"/>
        <w:rPr/>
      </w:pPr>
      <w:r>
        <w:rPr>
          <w:rStyle w:val="Style8"/>
          <w:rFonts w:eastAsia="Calibri"/>
          <w:bCs/>
          <w:i w:val="false"/>
          <w:sz w:val="26"/>
          <w:szCs w:val="26"/>
          <w:shd w:fill="auto" w:val="clear"/>
        </w:rPr>
        <w:t xml:space="preserve"> </w:t>
      </w:r>
      <w:r>
        <w:rPr>
          <w:rStyle w:val="Style8"/>
          <w:rFonts w:eastAsia="Calibri"/>
          <w:bCs/>
          <w:i w:val="false"/>
          <w:sz w:val="26"/>
          <w:szCs w:val="26"/>
          <w:shd w:fill="auto" w:val="clear"/>
        </w:rPr>
        <w:t>Поставка</w:t>
      </w:r>
      <w:r>
        <w:rPr>
          <w:rStyle w:val="Style8"/>
          <w:rFonts w:eastAsia="Calibri" w:cs="Times New Roman"/>
          <w:bCs/>
          <w:i w:val="false"/>
          <w:color w:val="000000"/>
          <w:kern w:val="0"/>
          <w:sz w:val="26"/>
          <w:szCs w:val="26"/>
          <w:shd w:fill="auto" w:val="clear"/>
          <w:lang w:val="ru-RU" w:eastAsia="ru-RU" w:bidi="ar-SA"/>
        </w:rPr>
        <w:t xml:space="preserve"> </w:t>
      </w:r>
      <w:r>
        <w:rPr>
          <w:rStyle w:val="Style8"/>
          <w:rFonts w:eastAsia="Calibri" w:cs="Times New Roman"/>
          <w:b/>
          <w:bCs/>
          <w:i w:val="false"/>
          <w:strike w:val="false"/>
          <w:dstrike w:val="false"/>
          <w:outline w:val="false"/>
          <w:shadow w:val="false"/>
          <w:color w:val="000000"/>
          <w:kern w:val="0"/>
          <w:sz w:val="28"/>
          <w:szCs w:val="26"/>
          <w:u w:val="none"/>
          <w:shd w:fill="auto" w:val="clear"/>
          <w:em w:val="none"/>
          <w:lang w:val="ru-RU" w:eastAsia="ru-RU" w:bidi="ar-SA"/>
        </w:rPr>
        <w:t>к</w:t>
      </w:r>
      <w:r>
        <w:rPr>
          <w:b/>
          <w:bCs/>
          <w:i w:val="false"/>
          <w:strike w:val="false"/>
          <w:dstrike w:val="false"/>
          <w:outline w:val="false"/>
          <w:shadow w:val="false"/>
          <w:sz w:val="28"/>
          <w:u w:val="none"/>
          <w:em w:val="none"/>
        </w:rPr>
        <w:t>омплект</w:t>
      </w:r>
      <w:r>
        <w:rPr>
          <w:b/>
          <w:bCs/>
          <w:i w:val="false"/>
          <w:strike w:val="false"/>
          <w:dstrike w:val="false"/>
          <w:outline w:val="false"/>
          <w:shadow w:val="false"/>
          <w:sz w:val="28"/>
          <w:u w:val="none"/>
          <w:em w:val="none"/>
        </w:rPr>
        <w:t>а</w:t>
      </w:r>
      <w:r>
        <w:rPr>
          <w:b/>
          <w:bCs/>
          <w:i w:val="false"/>
          <w:strike w:val="false"/>
          <w:dstrike w:val="false"/>
          <w:outline w:val="false"/>
          <w:shadow w:val="false"/>
          <w:sz w:val="28"/>
          <w:u w:val="none"/>
          <w:em w:val="none"/>
        </w:rPr>
        <w:t xml:space="preserve"> привод</w:t>
      </w:r>
      <w:r>
        <w:rPr>
          <w:b/>
          <w:bCs/>
          <w:i w:val="false"/>
          <w:strike w:val="false"/>
          <w:dstrike w:val="false"/>
          <w:outline w:val="false"/>
          <w:shadow w:val="false"/>
          <w:sz w:val="28"/>
          <w:u w:val="none"/>
          <w:em w:val="none"/>
        </w:rPr>
        <w:t>а</w:t>
      </w:r>
      <w:r>
        <w:rPr>
          <w:b/>
          <w:bCs/>
          <w:i w:val="false"/>
          <w:strike w:val="false"/>
          <w:dstrike w:val="false"/>
          <w:outline w:val="false"/>
          <w:shadow w:val="false"/>
          <w:sz w:val="28"/>
          <w:u w:val="none"/>
          <w:em w:val="none"/>
        </w:rPr>
        <w:t xml:space="preserve"> для распашных ворот ППВ-3МС</w:t>
      </w:r>
    </w:p>
    <w:p>
      <w:pPr>
        <w:pStyle w:val="Normal"/>
        <w:widowControl w:val="false"/>
        <w:tabs>
          <w:tab w:val="clear" w:pos="708"/>
          <w:tab w:val="left" w:pos="426" w:leader="none"/>
        </w:tabs>
        <w:spacing w:before="120" w:after="120"/>
        <w:jc w:val="center"/>
        <w:rPr/>
      </w:pPr>
      <w:r>
        <w:rPr>
          <w:rStyle w:val="Style8"/>
          <w:rFonts w:eastAsia="Calibri" w:cs="Times New Roman"/>
          <w:bCs/>
          <w:i w:val="false"/>
          <w:color w:val="000000"/>
          <w:kern w:val="0"/>
          <w:sz w:val="26"/>
          <w:szCs w:val="26"/>
          <w:shd w:fill="auto" w:val="clear"/>
          <w:lang w:val="ru-RU" w:eastAsia="ru-RU" w:bidi="ar-SA"/>
        </w:rPr>
        <w:t xml:space="preserve"> </w:t>
      </w:r>
      <w:r>
        <w:rPr>
          <w:rStyle w:val="Style8"/>
          <w:rFonts w:eastAsia="Times New Roman" w:cs="Times New Roman"/>
          <w:b/>
          <w:bCs/>
          <w:i w:val="false"/>
          <w:strike w:val="false"/>
          <w:dstrike w:val="false"/>
          <w:outline w:val="false"/>
          <w:shadow w:val="false"/>
          <w:color w:val="000000"/>
          <w:kern w:val="0"/>
          <w:sz w:val="28"/>
          <w:szCs w:val="28"/>
          <w:u w:val="none"/>
          <w:shd w:fill="auto" w:val="clear"/>
          <w:em w:val="none"/>
          <w:lang w:val="ru-RU" w:eastAsia="ru-RU" w:bidi="ar-SA"/>
        </w:rPr>
        <w:t>для нужд Волжского филиала»</w:t>
      </w:r>
    </w:p>
    <w:p>
      <w:pPr>
        <w:pStyle w:val="Normal"/>
        <w:widowControl w:val="false"/>
        <w:tabs>
          <w:tab w:val="clear" w:pos="708"/>
          <w:tab w:val="left" w:pos="426" w:leader="none"/>
        </w:tabs>
        <w:spacing w:before="120" w:after="120"/>
        <w:jc w:val="center"/>
        <w:rPr>
          <w:rStyle w:val="Style8"/>
          <w:rFonts w:ascii="Times New Roman" w:hAnsi="Times New Roman" w:eastAsia="Calibri" w:cs="Times New Roman"/>
          <w:bCs/>
          <w:i w:val="false"/>
          <w:i w:val="false"/>
          <w:color w:val="auto"/>
          <w:kern w:val="0"/>
          <w:sz w:val="26"/>
          <w:szCs w:val="26"/>
          <w:shd w:fill="auto" w:val="clear"/>
          <w:lang w:val="ru-RU" w:eastAsia="ru-RU" w:bidi="ar-SA"/>
        </w:rPr>
      </w:pPr>
      <w:r>
        <w:rPr>
          <w:rFonts w:eastAsia="Calibri" w:cs="Times New Roman"/>
          <w:bCs/>
          <w:i w:val="false"/>
          <w:color w:val="000000"/>
          <w:kern w:val="0"/>
          <w:sz w:val="26"/>
          <w:szCs w:val="26"/>
          <w:shd w:fill="auto" w:val="clear"/>
          <w:lang w:val="ru-RU" w:eastAsia="ru-RU" w:bidi="ar-SA"/>
        </w:rPr>
      </w:r>
    </w:p>
    <w:p>
      <w:pPr>
        <w:pStyle w:val="Normal"/>
        <w:keepNext w:val="true"/>
        <w:keepLines/>
        <w:jc w:val="center"/>
        <w:rPr>
          <w:rStyle w:val="Style8"/>
          <w:rFonts w:eastAsia="Calibri"/>
          <w:bCs/>
          <w:i w:val="false"/>
          <w:i w:val="false"/>
          <w:color w:val="C9211E"/>
          <w:sz w:val="26"/>
          <w:szCs w:val="26"/>
          <w:shd w:fill="auto" w:val="clear"/>
        </w:rPr>
      </w:pPr>
      <w:r>
        <w:rPr>
          <w:rFonts w:eastAsia="Calibri"/>
          <w:bCs/>
          <w:i w:val="false"/>
          <w:color w:val="C9211E"/>
          <w:sz w:val="26"/>
          <w:szCs w:val="26"/>
          <w:shd w:fill="auto" w:val="clear"/>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Heading4"/>
        <w:numPr>
          <w:ilvl w:val="0"/>
          <w:numId w:val="0"/>
        </w:numPr>
        <w:ind w:left="0" w:hanging="0"/>
        <w:rPr/>
      </w:pPr>
      <w:r>
        <w:rPr/>
      </w:r>
    </w:p>
    <w:p>
      <w:pPr>
        <w:pStyle w:val="Heading4"/>
        <w:numPr>
          <w:ilvl w:val="1"/>
          <w:numId w:val="3"/>
        </w:numPr>
        <w:rPr/>
      </w:pPr>
      <w:bookmarkStart w:id="12" w:name="_Toc184220612"/>
      <w:bookmarkStart w:id="13" w:name="_Toc46743506"/>
      <w:r>
        <w:rPr/>
        <w:t>Наименование закупаемой продукции</w:t>
      </w:r>
      <w:bookmarkEnd w:id="12"/>
      <w:bookmarkEnd w:id="13"/>
    </w:p>
    <w:p>
      <w:pPr>
        <w:pStyle w:val="Normal"/>
        <w:widowControl w:val="false"/>
        <w:tabs>
          <w:tab w:val="clear" w:pos="708"/>
          <w:tab w:val="left" w:pos="426" w:leader="none"/>
        </w:tabs>
        <w:spacing w:before="120" w:after="120"/>
        <w:rPr/>
      </w:pPr>
      <w:r>
        <w:rPr>
          <w:rStyle w:val="Style8"/>
          <w:rFonts w:eastAsia="Calibri" w:cs="Times New Roman"/>
          <w:b w:val="false"/>
          <w:bCs w:val="false"/>
          <w:i w:val="false"/>
          <w:color w:val="000000"/>
          <w:kern w:val="0"/>
          <w:sz w:val="24"/>
          <w:szCs w:val="24"/>
          <w:shd w:fill="auto" w:val="clear"/>
          <w:lang w:val="ru-RU" w:eastAsia="x-none" w:bidi="ar-SA"/>
        </w:rPr>
        <w:t>ОКПД2  28.14.20.112  Поставка Комплект приводов для распашных ворот ППВ-3МС для нужд Волжского филиала»  (далее — Продукция).</w:t>
      </w:r>
    </w:p>
    <w:p>
      <w:pPr>
        <w:pStyle w:val="Heading4"/>
        <w:numPr>
          <w:ilvl w:val="1"/>
          <w:numId w:val="3"/>
        </w:numPr>
        <w:spacing w:before="240" w:after="60"/>
        <w:ind w:left="431" w:hanging="431"/>
        <w:rPr/>
      </w:pPr>
      <w:bookmarkStart w:id="14" w:name="_Toc184220613"/>
      <w:bookmarkStart w:id="15" w:name="_Toc46743507"/>
      <w:r>
        <w:rPr/>
        <w:t xml:space="preserve">Цель </w:t>
      </w:r>
      <w:bookmarkEnd w:id="15"/>
      <w:r>
        <w:rPr>
          <w:lang w:val="ru-RU"/>
        </w:rPr>
        <w:t>использования закупаемой продукции:</w:t>
      </w:r>
      <w:bookmarkEnd w:id="14"/>
      <w:r>
        <w:rPr>
          <w:lang w:val="ru-RU"/>
        </w:rPr>
        <w:t xml:space="preserve"> </w:t>
      </w:r>
    </w:p>
    <w:p>
      <w:pPr>
        <w:pStyle w:val="Heading4"/>
        <w:spacing w:before="240" w:after="60"/>
        <w:ind w:left="0" w:hanging="0"/>
        <w:jc w:val="both"/>
        <w:rPr>
          <w:rStyle w:val="Style8"/>
          <w:b w:val="false"/>
          <w:bCs w:val="false"/>
          <w:i w:val="false"/>
          <w:i w:val="false"/>
          <w:color w:val="000000"/>
          <w:shd w:fill="auto" w:val="clear"/>
          <w:lang w:val="ru-RU"/>
        </w:rPr>
      </w:pPr>
      <w:bookmarkStart w:id="16" w:name="_Toc184220614_Копия_1"/>
      <w:r>
        <w:rPr>
          <w:rStyle w:val="Style8"/>
          <w:b w:val="false"/>
          <w:bCs w:val="false"/>
          <w:i w:val="false"/>
          <w:shd w:fill="auto" w:val="clear"/>
          <w:lang w:val="ru-RU"/>
        </w:rPr>
        <w:t xml:space="preserve">Закупаемая продукция предназначена для выполнения работ на Волжской ГЭС для исполнения Договора </w:t>
      </w:r>
      <w:r>
        <w:rPr>
          <w:rStyle w:val="Style8"/>
          <w:b w:val="false"/>
          <w:bCs w:val="false"/>
          <w:i w:val="false"/>
          <w:color w:val="000000"/>
          <w:shd w:fill="auto" w:val="clear"/>
          <w:lang w:val="ru-RU"/>
        </w:rPr>
        <w:t xml:space="preserve">№ </w:t>
      </w:r>
      <w:bookmarkEnd w:id="16"/>
      <w:r>
        <w:rPr>
          <w:rStyle w:val="Style8"/>
          <w:rFonts w:eastAsia="Calibri" w:cs="Times New Roman"/>
          <w:b w:val="false"/>
          <w:bCs w:val="false"/>
          <w:i w:val="false"/>
          <w:color w:val="000000"/>
          <w:kern w:val="0"/>
          <w:sz w:val="24"/>
          <w:szCs w:val="24"/>
          <w:shd w:fill="auto" w:val="clear"/>
          <w:lang w:val="ru-RU" w:eastAsia="x-none" w:bidi="ar-SA"/>
        </w:rPr>
        <w:t xml:space="preserve">1050-2658-20261-Рем Без-2026-ВолГЭС </w:t>
      </w:r>
      <w:r>
        <w:rPr>
          <w:rStyle w:val="Style8"/>
          <w:rFonts w:eastAsia="Calibri" w:cs="Times New Roman"/>
          <w:b w:val="false"/>
          <w:bCs w:val="false"/>
          <w:i w:val="false"/>
          <w:color w:val="000000"/>
          <w:kern w:val="0"/>
          <w:sz w:val="24"/>
          <w:szCs w:val="28"/>
          <w:shd w:fill="auto" w:val="clear"/>
          <w:lang w:val="ru-RU" w:eastAsia="en-US" w:bidi="ar-SA"/>
        </w:rPr>
        <w:t>«Техническое обслуживание комплексной системы безопасности (КСБ) Филиала ПАО «РусГидро» - «Волжская ГЭС" заключенный между филиалом ПАО «РусГидро» - Волжская ГЭС» и Волжским филиалом АО «Гидроремонт-ВКК»</w:t>
      </w:r>
    </w:p>
    <w:p>
      <w:pPr>
        <w:pStyle w:val="Heading1"/>
        <w:keepLines/>
        <w:numPr>
          <w:ilvl w:val="0"/>
          <w:numId w:val="3"/>
        </w:numPr>
        <w:ind w:left="357" w:hanging="357"/>
        <w:jc w:val="center"/>
        <w:rPr>
          <w:color w:val="000000"/>
        </w:rPr>
      </w:pPr>
      <w:bookmarkStart w:id="17" w:name="_Toc51339693"/>
      <w:bookmarkStart w:id="18" w:name="_Toc184220615"/>
      <w:bookmarkStart w:id="19" w:name="_Toc50125126"/>
      <w:bookmarkStart w:id="20" w:name="_Toc46743510"/>
      <w:bookmarkEnd w:id="19"/>
      <w:bookmarkEnd w:id="20"/>
      <w:r>
        <w:rPr>
          <w:iCs/>
          <w:color w:val="000000"/>
        </w:rPr>
        <w:t>Требования к продукции</w:t>
      </w:r>
      <w:bookmarkEnd w:id="17"/>
      <w:bookmarkEnd w:id="18"/>
    </w:p>
    <w:p>
      <w:pPr>
        <w:pStyle w:val="Heading4"/>
        <w:numPr>
          <w:ilvl w:val="1"/>
          <w:numId w:val="3"/>
        </w:numPr>
        <w:rPr/>
      </w:pPr>
      <w:bookmarkStart w:id="21" w:name="_Toc184220616"/>
      <w:r>
        <w:rPr/>
        <w:t xml:space="preserve">Требования к объемам и срокам </w:t>
      </w:r>
      <w:r>
        <w:rPr>
          <w:lang w:val="ru-RU"/>
        </w:rPr>
        <w:t>поставки</w:t>
      </w:r>
      <w:bookmarkEnd w:id="21"/>
    </w:p>
    <w:p>
      <w:pPr>
        <w:pStyle w:val="Heading3"/>
        <w:numPr>
          <w:ilvl w:val="2"/>
          <w:numId w:val="3"/>
        </w:numPr>
        <w:rPr/>
      </w:pPr>
      <w:bookmarkStart w:id="22" w:name="_Toc184220617"/>
      <w:r>
        <w:rPr>
          <w:lang w:val="ru-RU"/>
        </w:rPr>
        <w:t>Перечень и объем закупаемой продукции</w:t>
      </w:r>
      <w:bookmarkEnd w:id="22"/>
    </w:p>
    <w:p>
      <w:pPr>
        <w:pStyle w:val="Heading1"/>
        <w:keepLines/>
        <w:tabs>
          <w:tab w:val="clear" w:pos="0"/>
        </w:tabs>
        <w:spacing w:before="240" w:after="60"/>
        <w:ind w:left="0" w:hanging="0"/>
        <w:rPr>
          <w:sz w:val="24"/>
          <w:szCs w:val="24"/>
          <w:lang w:val="ru-RU"/>
        </w:rPr>
      </w:pPr>
      <w:bookmarkStart w:id="23" w:name="_Toc184220618"/>
      <w:bookmarkStart w:id="24" w:name="_Toc51339695"/>
      <w:r>
        <w:rPr>
          <w:sz w:val="24"/>
          <w:szCs w:val="24"/>
        </w:rPr>
        <w:t xml:space="preserve">Таблица </w:t>
      </w:r>
      <w:r>
        <w:rPr>
          <w:sz w:val="24"/>
          <w:szCs w:val="24"/>
          <w:lang w:val="ru-RU"/>
        </w:rPr>
        <w:t>1.1</w:t>
      </w:r>
      <w:r>
        <w:rPr>
          <w:sz w:val="24"/>
          <w:szCs w:val="24"/>
        </w:rPr>
        <w:t xml:space="preserve"> </w:t>
      </w:r>
      <w:r>
        <w:rPr>
          <w:sz w:val="24"/>
          <w:szCs w:val="24"/>
          <w:lang w:val="ru-RU"/>
        </w:rPr>
        <w:t xml:space="preserve">Перечень </w:t>
      </w:r>
      <w:bookmarkEnd w:id="24"/>
      <w:r>
        <w:rPr>
          <w:sz w:val="24"/>
          <w:szCs w:val="24"/>
          <w:lang w:val="ru-RU"/>
        </w:rPr>
        <w:t>и объем закупаемой продукции</w:t>
      </w:r>
      <w:bookmarkEnd w:id="23"/>
    </w:p>
    <w:tbl>
      <w:tblPr>
        <w:tblW w:w="10007" w:type="dxa"/>
        <w:jc w:val="left"/>
        <w:tblInd w:w="84" w:type="dxa"/>
        <w:tblLayout w:type="fixed"/>
        <w:tblCellMar>
          <w:top w:w="0" w:type="dxa"/>
          <w:left w:w="108" w:type="dxa"/>
          <w:bottom w:w="0" w:type="dxa"/>
          <w:right w:w="108" w:type="dxa"/>
        </w:tblCellMar>
        <w:tblLook w:val="0000" w:noHBand="0" w:noVBand="0" w:firstColumn="0" w:lastRow="0" w:lastColumn="0" w:firstRow="0"/>
      </w:tblPr>
      <w:tblGrid>
        <w:gridCol w:w="778"/>
        <w:gridCol w:w="6541"/>
        <w:gridCol w:w="1365"/>
        <w:gridCol w:w="1322"/>
      </w:tblGrid>
      <w:tr>
        <w:trPr/>
        <w:tc>
          <w:tcPr>
            <w:tcW w:w="77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w:t>
            </w:r>
          </w:p>
          <w:p>
            <w:pPr>
              <w:pStyle w:val="Normal"/>
              <w:keepNext w:val="true"/>
              <w:widowControl w:val="false"/>
              <w:jc w:val="center"/>
              <w:rPr>
                <w:sz w:val="20"/>
                <w:szCs w:val="20"/>
              </w:rPr>
            </w:pPr>
            <w:r>
              <w:rPr>
                <w:sz w:val="20"/>
                <w:szCs w:val="20"/>
              </w:rPr>
              <w:t>п/п</w:t>
            </w:r>
          </w:p>
        </w:tc>
        <w:tc>
          <w:tcPr>
            <w:tcW w:w="654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Наименование продукции</w:t>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Ед. изм.</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Кол-во</w:t>
            </w:r>
          </w:p>
        </w:tc>
      </w:tr>
      <w:tr>
        <w:trPr/>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1</w:t>
            </w:r>
          </w:p>
        </w:tc>
        <w:tc>
          <w:tcPr>
            <w:tcW w:w="65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2</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3</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4</w:t>
            </w:r>
          </w:p>
        </w:tc>
      </w:tr>
      <w:tr>
        <w:trPr/>
        <w:tc>
          <w:tcPr>
            <w:tcW w:w="778"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center"/>
              <w:rPr/>
            </w:pPr>
            <w:r>
              <w:rPr/>
              <w:t>1</w:t>
            </w:r>
          </w:p>
        </w:tc>
        <w:tc>
          <w:tcPr>
            <w:tcW w:w="6541" w:type="dxa"/>
            <w:tcBorders>
              <w:left w:val="single" w:sz="4" w:space="0" w:color="000000"/>
              <w:bottom w:val="single" w:sz="4" w:space="0" w:color="000000"/>
              <w:right w:val="single" w:sz="4" w:space="0" w:color="000000"/>
            </w:tcBorders>
          </w:tcPr>
          <w:p>
            <w:pPr>
              <w:pStyle w:val="Normal"/>
              <w:widowControl w:val="false"/>
              <w:ind w:left="0" w:right="0" w:hanging="0"/>
              <w:rPr/>
            </w:pPr>
            <w:r>
              <w:rPr>
                <w:rStyle w:val="Style8"/>
                <w:rFonts w:eastAsia="Times New Roman" w:cs="Times New Roman"/>
                <w:b w:val="false"/>
                <w:bCs w:val="false"/>
                <w:i w:val="false"/>
                <w:iCs w:val="false"/>
                <w:color w:val="000000"/>
                <w:kern w:val="0"/>
                <w:sz w:val="24"/>
                <w:szCs w:val="24"/>
                <w:shd w:fill="auto" w:val="clear"/>
                <w:lang w:val="ru-RU" w:eastAsia="ru-RU" w:bidi="ar-SA"/>
              </w:rPr>
              <w:t>Привод для распашных ворот ППВ-3МС</w:t>
            </w:r>
          </w:p>
        </w:tc>
        <w:tc>
          <w:tcPr>
            <w:tcW w:w="1365" w:type="dxa"/>
            <w:tcBorders>
              <w:top w:val="single" w:sz="4" w:space="0" w:color="000000"/>
              <w:left w:val="single" w:sz="4" w:space="0" w:color="000000"/>
              <w:bottom w:val="single" w:sz="4" w:space="0" w:color="000000"/>
              <w:right w:val="single" w:sz="4" w:space="0" w:color="000000"/>
            </w:tcBorders>
          </w:tcPr>
          <w:p>
            <w:pPr>
              <w:pStyle w:val="Style34"/>
              <w:widowControl w:val="false"/>
              <w:spacing w:before="0" w:after="200"/>
              <w:jc w:val="center"/>
              <w:rPr>
                <w:color w:val="000000"/>
              </w:rPr>
            </w:pPr>
            <w:r>
              <w:rPr>
                <w:color w:val="000000"/>
                <w:sz w:val="24"/>
                <w:szCs w:val="24"/>
              </w:rPr>
              <w:t>шт</w:t>
            </w:r>
          </w:p>
        </w:tc>
        <w:tc>
          <w:tcPr>
            <w:tcW w:w="1322" w:type="dxa"/>
            <w:tcBorders>
              <w:top w:val="single" w:sz="4" w:space="0" w:color="000000"/>
              <w:left w:val="single" w:sz="4" w:space="0" w:color="000000"/>
              <w:bottom w:val="single" w:sz="4" w:space="0" w:color="000000"/>
              <w:right w:val="single" w:sz="4" w:space="0" w:color="000000"/>
            </w:tcBorders>
          </w:tcPr>
          <w:p>
            <w:pPr>
              <w:pStyle w:val="Style34"/>
              <w:widowControl w:val="false"/>
              <w:spacing w:before="0" w:after="200"/>
              <w:jc w:val="center"/>
              <w:rPr>
                <w:color w:val="000000"/>
              </w:rPr>
            </w:pPr>
            <w:r>
              <w:rPr>
                <w:color w:val="000000"/>
                <w:sz w:val="24"/>
                <w:szCs w:val="24"/>
              </w:rPr>
              <w:t>2</w:t>
            </w:r>
          </w:p>
        </w:tc>
      </w:tr>
    </w:tbl>
    <w:p>
      <w:pPr>
        <w:pStyle w:val="Heading3"/>
        <w:numPr>
          <w:ilvl w:val="2"/>
          <w:numId w:val="3"/>
        </w:numPr>
        <w:rPr>
          <w:lang w:val="ru-RU"/>
        </w:rPr>
      </w:pPr>
      <w:bookmarkStart w:id="25" w:name="_Toc184220619"/>
      <w:bookmarkStart w:id="26" w:name="_Toc51339696"/>
      <w:bookmarkStart w:id="27" w:name="_Toc75446577"/>
      <w:bookmarkEnd w:id="27"/>
      <w:r>
        <w:rPr>
          <w:lang w:val="ru-RU"/>
        </w:rPr>
        <w:t xml:space="preserve">Требования </w:t>
      </w:r>
      <w:bookmarkEnd w:id="26"/>
      <w:r>
        <w:rPr>
          <w:lang w:val="ru-RU"/>
        </w:rPr>
        <w:t>к срокам поставки продукции и оказания сопутствующих услуг</w:t>
      </w:r>
      <w:bookmarkEnd w:id="25"/>
    </w:p>
    <w:p>
      <w:pPr>
        <w:pStyle w:val="Heading1"/>
        <w:keepLines/>
        <w:tabs>
          <w:tab w:val="clear" w:pos="0"/>
        </w:tabs>
        <w:spacing w:before="240" w:after="60"/>
        <w:ind w:left="0" w:hanging="0"/>
        <w:rPr>
          <w:sz w:val="24"/>
          <w:szCs w:val="24"/>
          <w:lang w:val="ru-RU"/>
        </w:rPr>
      </w:pPr>
      <w:bookmarkStart w:id="28" w:name="_Toc184220620"/>
      <w:bookmarkStart w:id="29" w:name="_Toc51339697"/>
      <w:bookmarkStart w:id="30" w:name="_Toc50125127"/>
      <w:bookmarkStart w:id="31" w:name="_Toc501251261"/>
      <w:bookmarkEnd w:id="31"/>
      <w:r>
        <w:rPr>
          <w:sz w:val="24"/>
          <w:szCs w:val="24"/>
        </w:rPr>
        <w:t xml:space="preserve">Таблица </w:t>
      </w:r>
      <w:r>
        <w:rPr>
          <w:sz w:val="24"/>
          <w:szCs w:val="24"/>
          <w:lang w:val="ru-RU"/>
        </w:rPr>
        <w:t>2</w:t>
      </w:r>
      <w:r>
        <w:rPr>
          <w:sz w:val="24"/>
          <w:szCs w:val="24"/>
        </w:rPr>
        <w:t>.</w:t>
      </w:r>
      <w:r>
        <w:rPr>
          <w:sz w:val="24"/>
          <w:szCs w:val="24"/>
          <w:lang w:val="ru-RU"/>
        </w:rPr>
        <w:t>1</w:t>
      </w:r>
      <w:r>
        <w:rPr>
          <w:sz w:val="24"/>
          <w:szCs w:val="24"/>
        </w:rPr>
        <w:t xml:space="preserve"> </w:t>
      </w:r>
      <w:bookmarkStart w:id="32" w:name="_Hlk50465284"/>
      <w:r>
        <w:rPr>
          <w:sz w:val="24"/>
          <w:szCs w:val="24"/>
        </w:rPr>
        <w:t xml:space="preserve">Требования по срокам </w:t>
      </w:r>
      <w:bookmarkEnd w:id="29"/>
      <w:bookmarkEnd w:id="30"/>
      <w:bookmarkEnd w:id="32"/>
      <w:r>
        <w:rPr>
          <w:sz w:val="24"/>
          <w:szCs w:val="24"/>
          <w:lang w:val="ru-RU"/>
        </w:rPr>
        <w:t>поставки продукции</w:t>
      </w:r>
      <w:bookmarkEnd w:id="28"/>
      <w:r>
        <w:rPr>
          <w:sz w:val="24"/>
          <w:szCs w:val="24"/>
          <w:lang w:val="ru-RU"/>
        </w:rPr>
        <w:t xml:space="preserve"> </w:t>
      </w:r>
    </w:p>
    <w:tbl>
      <w:tblPr>
        <w:tblW w:w="1006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767"/>
        <w:gridCol w:w="5639"/>
        <w:gridCol w:w="1657"/>
        <w:gridCol w:w="1996"/>
      </w:tblGrid>
      <w:tr>
        <w:trPr/>
        <w:tc>
          <w:tcPr>
            <w:tcW w:w="7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56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продукции / партии продукции</w:t>
            </w:r>
          </w:p>
        </w:tc>
        <w:tc>
          <w:tcPr>
            <w:tcW w:w="16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поставки продукции</w:t>
            </w:r>
          </w:p>
        </w:tc>
        <w:tc>
          <w:tcPr>
            <w:tcW w:w="1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поставки продукции</w:t>
            </w:r>
          </w:p>
        </w:tc>
      </w:tr>
      <w:tr>
        <w:trPr/>
        <w:tc>
          <w:tcPr>
            <w:tcW w:w="767" w:type="dxa"/>
            <w:tcBorders>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1</w:t>
            </w:r>
          </w:p>
        </w:tc>
        <w:tc>
          <w:tcPr>
            <w:tcW w:w="5639" w:type="dxa"/>
            <w:tcBorders>
              <w:left w:val="single" w:sz="4" w:space="0" w:color="000000"/>
              <w:bottom w:val="single" w:sz="4" w:space="0" w:color="000000"/>
              <w:right w:val="single" w:sz="4" w:space="0" w:color="000000"/>
            </w:tcBorders>
            <w:shd w:color="auto" w:fill="auto" w:val="clear"/>
          </w:tcPr>
          <w:p>
            <w:pPr>
              <w:pStyle w:val="Style34"/>
              <w:widowControl w:val="false"/>
              <w:spacing w:before="0" w:after="200"/>
              <w:rPr/>
            </w:pPr>
            <w:r>
              <w:rPr>
                <w:rStyle w:val="Style8"/>
                <w:rFonts w:eastAsia="Times New Roman" w:cs="Times New Roman"/>
                <w:b w:val="false"/>
                <w:bCs w:val="false"/>
                <w:i w:val="false"/>
                <w:iCs w:val="false"/>
                <w:color w:val="000000"/>
                <w:kern w:val="0"/>
                <w:sz w:val="24"/>
                <w:szCs w:val="24"/>
                <w:shd w:fill="auto" w:val="clear"/>
                <w:lang w:val="ru-RU" w:eastAsia="ru-RU" w:bidi="ar-SA"/>
              </w:rPr>
              <w:t xml:space="preserve"> </w:t>
            </w:r>
            <w:r>
              <w:rPr>
                <w:rStyle w:val="Style8"/>
                <w:rFonts w:eastAsia="Times New Roman" w:cs="Times New Roman"/>
                <w:b w:val="false"/>
                <w:bCs w:val="false"/>
                <w:i w:val="false"/>
                <w:iCs w:val="false"/>
                <w:color w:val="000000"/>
                <w:kern w:val="0"/>
                <w:sz w:val="24"/>
                <w:szCs w:val="24"/>
                <w:shd w:fill="auto" w:val="clear"/>
                <w:lang w:val="ru-RU" w:eastAsia="ru-RU" w:bidi="ar-SA"/>
              </w:rPr>
              <w:t>Привод для распашных ворот ППВ-3МС</w:t>
            </w:r>
          </w:p>
        </w:tc>
        <w:tc>
          <w:tcPr>
            <w:tcW w:w="165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С даты подписания договора</w:t>
            </w:r>
          </w:p>
        </w:tc>
        <w:tc>
          <w:tcPr>
            <w:tcW w:w="1996"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Не позднее 31</w:t>
            </w:r>
            <w:r>
              <w:rPr>
                <w:color w:val="C9211E"/>
                <w:sz w:val="24"/>
                <w:szCs w:val="24"/>
              </w:rPr>
              <w:t>.</w:t>
            </w:r>
            <w:r>
              <w:rPr>
                <w:color w:val="000000"/>
                <w:sz w:val="24"/>
                <w:szCs w:val="24"/>
              </w:rPr>
              <w:t>08.2026г.</w:t>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tc>
      </w:tr>
      <w:tr>
        <w:trPr/>
        <w:tc>
          <w:tcPr>
            <w:tcW w:w="10059" w:type="dxa"/>
            <w:gridSpan w:val="4"/>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*сроки установлены согласно требованиям договора подряда указанного в п.1.3</w:t>
            </w:r>
          </w:p>
        </w:tc>
      </w:tr>
    </w:tbl>
    <w:p>
      <w:pPr>
        <w:pStyle w:val="Heading4"/>
        <w:numPr>
          <w:ilvl w:val="1"/>
          <w:numId w:val="3"/>
        </w:numPr>
        <w:rPr/>
      </w:pPr>
      <w:bookmarkStart w:id="33" w:name="_Toc184220621"/>
      <w:bookmarkStart w:id="34" w:name="_Toc46743511"/>
      <w:bookmarkStart w:id="35" w:name="_Toc75446580"/>
      <w:bookmarkEnd w:id="35"/>
      <w:r>
        <w:rPr/>
        <w:t xml:space="preserve">Требования к </w:t>
      </w:r>
      <w:bookmarkEnd w:id="34"/>
      <w:r>
        <w:rPr>
          <w:lang w:val="ru-RU"/>
        </w:rPr>
        <w:t>качеству продукц</w:t>
      </w:r>
      <w:bookmarkEnd w:id="33"/>
      <w:r>
        <w:rPr>
          <w:lang w:val="ru-RU"/>
        </w:rPr>
        <w:t>ии</w:t>
      </w:r>
    </w:p>
    <w:p>
      <w:pPr>
        <w:pStyle w:val="Heading1"/>
        <w:tabs>
          <w:tab w:val="clear" w:pos="0"/>
        </w:tabs>
        <w:spacing w:before="240" w:after="60"/>
        <w:ind w:left="0" w:hanging="0"/>
        <w:rPr>
          <w:sz w:val="24"/>
          <w:szCs w:val="24"/>
        </w:rPr>
      </w:pPr>
      <w:bookmarkStart w:id="36" w:name="_Toc184220622"/>
      <w:r>
        <w:rPr>
          <w:sz w:val="24"/>
          <w:szCs w:val="24"/>
        </w:rPr>
        <w:t>Таблица </w:t>
      </w:r>
      <w:r>
        <w:rPr>
          <w:sz w:val="24"/>
          <w:szCs w:val="24"/>
          <w:lang w:val="ru-RU"/>
        </w:rPr>
        <w:t>3</w:t>
      </w:r>
      <w:r>
        <w:rPr>
          <w:sz w:val="24"/>
          <w:szCs w:val="24"/>
        </w:rPr>
        <w:t xml:space="preserve">. Требования к </w:t>
      </w:r>
      <w:r>
        <w:rPr>
          <w:sz w:val="24"/>
          <w:szCs w:val="24"/>
          <w:lang w:val="ru-RU"/>
        </w:rPr>
        <w:t>продукции</w:t>
      </w:r>
      <w:bookmarkEnd w:id="36"/>
      <w:r>
        <w:rPr>
          <w:sz w:val="24"/>
          <w:szCs w:val="24"/>
        </w:rPr>
        <w:t xml:space="preserve"> </w:t>
      </w:r>
    </w:p>
    <w:p>
      <w:pPr>
        <w:pStyle w:val="Normal"/>
        <w:jc w:val="both"/>
        <w:rPr>
          <w:sz w:val="24"/>
          <w:szCs w:val="24"/>
        </w:rPr>
      </w:pPr>
      <w:r>
        <w:rPr>
          <w:b/>
          <w:bCs/>
          <w:sz w:val="24"/>
          <w:szCs w:val="24"/>
        </w:rPr>
        <w:t>Наименование продукции: позиция №</w:t>
      </w:r>
      <w:r>
        <w:rPr>
          <w:rStyle w:val="Style8"/>
          <w:b w:val="false"/>
          <w:bCs/>
          <w:i w:val="false"/>
          <w:sz w:val="24"/>
          <w:szCs w:val="24"/>
          <w:shd w:fill="auto" w:val="clear"/>
        </w:rPr>
        <w:t xml:space="preserve"> </w:t>
      </w:r>
      <w:r>
        <w:rPr>
          <w:rStyle w:val="Style8"/>
          <w:bCs/>
          <w:i w:val="false"/>
          <w:sz w:val="24"/>
          <w:szCs w:val="24"/>
          <w:shd w:fill="auto" w:val="clear"/>
        </w:rPr>
        <w:t>1-3</w:t>
      </w:r>
      <w:r>
        <w:rPr>
          <w:rStyle w:val="Style8"/>
          <w:b w:val="false"/>
          <w:bCs/>
          <w:i w:val="false"/>
          <w:sz w:val="24"/>
          <w:szCs w:val="24"/>
          <w:shd w:fill="auto" w:val="clear"/>
        </w:rPr>
        <w:t xml:space="preserve"> </w:t>
      </w:r>
      <w:r>
        <w:rPr>
          <w:b/>
          <w:bCs/>
          <w:sz w:val="24"/>
          <w:szCs w:val="24"/>
        </w:rPr>
        <w:t xml:space="preserve">Таблицы 1.1: </w:t>
      </w:r>
      <w:bookmarkStart w:id="37" w:name="_GoBack"/>
      <w:bookmarkEnd w:id="37"/>
    </w:p>
    <w:tbl>
      <w:tblPr>
        <w:tblStyle w:val="affff6"/>
        <w:tblW w:w="1003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837"/>
        <w:gridCol w:w="5103"/>
        <w:gridCol w:w="4095"/>
      </w:tblGrid>
      <w:tr>
        <w:trPr/>
        <w:tc>
          <w:tcPr>
            <w:tcW w:w="837"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5103"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Наименование параметра</w:t>
            </w:r>
          </w:p>
        </w:tc>
        <w:tc>
          <w:tcPr>
            <w:tcW w:w="4095"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Требование заказчика</w:t>
            </w:r>
          </w:p>
        </w:tc>
      </w:tr>
      <w:tr>
        <w:trPr/>
        <w:tc>
          <w:tcPr>
            <w:tcW w:w="837" w:type="dxa"/>
            <w:tcBorders/>
            <w:vAlign w:val="center"/>
          </w:tcPr>
          <w:p>
            <w:pPr>
              <w:pStyle w:val="Normal"/>
              <w:widowControl w:val="false"/>
              <w:suppressAutoHyphens w:val="true"/>
              <w:spacing w:before="60" w:after="60"/>
              <w:jc w:val="center"/>
              <w:rPr>
                <w:sz w:val="24"/>
                <w:szCs w:val="24"/>
              </w:rPr>
            </w:pPr>
            <w:r>
              <w:rPr>
                <w:rFonts w:eastAsia="Times New Roman" w:cs="Times New Roman"/>
                <w:b/>
                <w:kern w:val="0"/>
                <w:sz w:val="24"/>
                <w:szCs w:val="24"/>
                <w:lang w:val="ru-RU" w:eastAsia="ru-RU" w:bidi="ar-SA"/>
              </w:rPr>
              <w:t>1</w:t>
            </w:r>
          </w:p>
        </w:tc>
        <w:tc>
          <w:tcPr>
            <w:tcW w:w="5103" w:type="dxa"/>
            <w:tcBorders/>
            <w:vAlign w:val="center"/>
          </w:tcPr>
          <w:p>
            <w:pPr>
              <w:pStyle w:val="Normal"/>
              <w:widowControl w:val="false"/>
              <w:suppressAutoHyphens w:val="true"/>
              <w:spacing w:before="0" w:after="0"/>
              <w:jc w:val="center"/>
              <w:rPr>
                <w:sz w:val="24"/>
                <w:szCs w:val="24"/>
              </w:rPr>
            </w:pPr>
            <w:r>
              <w:rPr>
                <w:rFonts w:eastAsia="Times New Roman" w:cs="Times New Roman"/>
                <w:b/>
                <w:kern w:val="0"/>
                <w:sz w:val="24"/>
                <w:szCs w:val="24"/>
                <w:lang w:val="ru-RU" w:eastAsia="ru-RU" w:bidi="ar-SA"/>
              </w:rPr>
              <w:t>2</w:t>
            </w:r>
          </w:p>
        </w:tc>
        <w:tc>
          <w:tcPr>
            <w:tcW w:w="4095" w:type="dxa"/>
            <w:tcBorders/>
            <w:vAlign w:val="center"/>
          </w:tcPr>
          <w:p>
            <w:pPr>
              <w:pStyle w:val="Normal"/>
              <w:widowControl w:val="false"/>
              <w:suppressAutoHyphens w:val="true"/>
              <w:spacing w:before="0" w:after="0"/>
              <w:jc w:val="center"/>
              <w:rPr>
                <w:sz w:val="24"/>
                <w:szCs w:val="24"/>
              </w:rPr>
            </w:pPr>
            <w:r>
              <w:rPr>
                <w:rFonts w:eastAsia="Times New Roman" w:cs="Times New Roman"/>
                <w:b/>
                <w:kern w:val="0"/>
                <w:sz w:val="24"/>
                <w:szCs w:val="24"/>
                <w:lang w:val="ru-RU" w:eastAsia="ru-RU" w:bidi="ar-SA"/>
              </w:rPr>
              <w:t>3</w:t>
            </w:r>
          </w:p>
        </w:tc>
      </w:tr>
      <w:tr>
        <w:trPr>
          <w:trHeight w:val="510" w:hRule="atLeast"/>
        </w:trPr>
        <w:tc>
          <w:tcPr>
            <w:tcW w:w="10035" w:type="dxa"/>
            <w:gridSpan w:val="3"/>
            <w:tcBorders/>
            <w:vAlign w:val="center"/>
          </w:tcPr>
          <w:p>
            <w:pPr>
              <w:pStyle w:val="Normal"/>
              <w:widowControl w:val="false"/>
              <w:suppressAutoHyphens w:val="true"/>
              <w:spacing w:before="0" w:after="0"/>
              <w:jc w:val="both"/>
              <w:rPr>
                <w:sz w:val="24"/>
                <w:szCs w:val="24"/>
              </w:rPr>
            </w:pPr>
            <w:r>
              <w:rPr>
                <w:rFonts w:eastAsia="Times New Roman" w:cs="Times New Roman"/>
                <w:b/>
                <w:kern w:val="0"/>
                <w:sz w:val="24"/>
                <w:szCs w:val="24"/>
                <w:lang w:val="ru-RU" w:eastAsia="ru-RU" w:bidi="ar-SA"/>
              </w:rPr>
              <w:t>Требования к техническим и функциональным характеристикам (включая гарантируемые показатели)</w:t>
            </w:r>
          </w:p>
        </w:tc>
      </w:tr>
      <w:tr>
        <w:trPr>
          <w:trHeight w:val="300" w:hRule="atLeast"/>
        </w:trPr>
        <w:tc>
          <w:tcPr>
            <w:tcW w:w="10035" w:type="dxa"/>
            <w:gridSpan w:val="3"/>
            <w:tcBorders/>
            <w:vAlign w:val="center"/>
          </w:tcPr>
          <w:p>
            <w:pPr>
              <w:pStyle w:val="Normal"/>
              <w:widowControl w:val="false"/>
              <w:suppressAutoHyphens w:val="true"/>
              <w:spacing w:before="0" w:after="0"/>
              <w:jc w:val="both"/>
              <w:rPr/>
            </w:pPr>
            <w:r>
              <w:rPr>
                <w:rStyle w:val="Style8"/>
                <w:rFonts w:eastAsia="Times New Roman" w:cs="Times New Roman"/>
                <w:b w:val="false"/>
                <w:bCs w:val="false"/>
                <w:i w:val="false"/>
                <w:iCs w:val="false"/>
                <w:color w:val="000000"/>
                <w:kern w:val="0"/>
                <w:sz w:val="24"/>
                <w:szCs w:val="24"/>
                <w:shd w:fill="auto" w:val="clear"/>
                <w:lang w:val="ru-RU" w:eastAsia="ru-RU" w:bidi="ar-SA"/>
              </w:rPr>
              <w:t>1.  Привод для распашных ворот ППВ-3МС</w:t>
            </w:r>
          </w:p>
        </w:tc>
      </w:tr>
      <w:tr>
        <w:trPr/>
        <w:tc>
          <w:tcPr>
            <w:tcW w:w="837" w:type="dxa"/>
            <w:tcBorders/>
            <w:vAlign w:val="center"/>
          </w:tcPr>
          <w:p>
            <w:pPr>
              <w:pStyle w:val="Normal"/>
              <w:widowControl w:val="false"/>
              <w:suppressAutoHyphens w:val="true"/>
              <w:spacing w:before="0" w:after="200"/>
              <w:jc w:val="both"/>
              <w:rPr/>
            </w:pPr>
            <w:r>
              <w:rPr>
                <w:rStyle w:val="Style8"/>
                <w:rFonts w:eastAsia="Times New Roman" w:cs="Times New Roman"/>
                <w:b w:val="false"/>
                <w:bCs w:val="false"/>
                <w:i w:val="false"/>
                <w:iCs w:val="false"/>
                <w:color w:val="000000"/>
                <w:kern w:val="0"/>
                <w:sz w:val="24"/>
                <w:szCs w:val="24"/>
                <w:shd w:fill="auto" w:val="clear"/>
                <w:lang w:val="ru-RU" w:eastAsia="ru-RU" w:bidi="ar-SA"/>
              </w:rPr>
              <w:t>1.1</w:t>
            </w:r>
          </w:p>
        </w:tc>
        <w:tc>
          <w:tcPr>
            <w:tcW w:w="5103" w:type="dxa"/>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Привод (кинематика)</w:t>
            </w:r>
          </w:p>
        </w:tc>
        <w:tc>
          <w:tcPr>
            <w:tcW w:w="4095" w:type="dxa"/>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Рычажный (рычаг цельный, передающий усилие створке через подшипник, закрепленный на конце рычага)</w:t>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1.11</w:t>
            </w:r>
          </w:p>
        </w:tc>
        <w:tc>
          <w:tcPr>
            <w:tcW w:w="5103"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Мотор-редуктор</w:t>
            </w:r>
          </w:p>
        </w:tc>
        <w:tc>
          <w:tcPr>
            <w:tcW w:w="4095"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Двигатель, электромагнитная муфта и многоступенчатый планетарный редуктор расположены в едином корпусе</w:t>
            </w:r>
          </w:p>
        </w:tc>
      </w:tr>
      <w:tr>
        <w:trPr/>
        <w:tc>
          <w:tcPr>
            <w:tcW w:w="837" w:type="dxa"/>
            <w:tcBorders>
              <w:top w:val="nil"/>
            </w:tcBorders>
            <w:vAlign w:val="center"/>
          </w:tcPr>
          <w:p>
            <w:pPr>
              <w:pStyle w:val="Normal"/>
              <w:widowControl w:val="false"/>
              <w:suppressAutoHyphens w:val="true"/>
              <w:spacing w:before="0" w:after="200"/>
              <w:jc w:val="both"/>
              <w:rPr>
                <w:rFonts w:ascii="Times New Roman" w:hAnsi="Times New Roman" w:eastAsia="Calibri" w:cs="Times New Roman"/>
                <w:color w:val="auto"/>
                <w:kern w:val="0"/>
                <w:sz w:val="24"/>
                <w:szCs w:val="24"/>
                <w:lang w:val="ru-RU" w:eastAsia="ru-RU" w:bidi="ar-SA"/>
              </w:rPr>
            </w:pPr>
            <w:r>
              <w:rPr>
                <w:rFonts w:eastAsia="Calibri" w:cs="Times New Roman"/>
                <w:color w:val="auto"/>
                <w:kern w:val="0"/>
                <w:sz w:val="24"/>
                <w:szCs w:val="24"/>
                <w:lang w:val="ru-RU" w:eastAsia="ru-RU" w:bidi="ar-SA"/>
              </w:rPr>
              <w:t>1.12</w:t>
            </w:r>
          </w:p>
        </w:tc>
        <w:tc>
          <w:tcPr>
            <w:tcW w:w="5103"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Момент сил открытия</w:t>
            </w:r>
          </w:p>
        </w:tc>
        <w:tc>
          <w:tcPr>
            <w:tcW w:w="4095"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максимальный — 1200 Н х М. Регулируемый.</w:t>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sz w:val="24"/>
                <w:szCs w:val="24"/>
              </w:rPr>
              <w:t>1.13</w:t>
            </w:r>
          </w:p>
        </w:tc>
        <w:tc>
          <w:tcPr>
            <w:tcW w:w="5103"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Возможность работы при низких температурах</w:t>
            </w:r>
          </w:p>
        </w:tc>
        <w:tc>
          <w:tcPr>
            <w:tcW w:w="4095"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Да. Может работать до минус 55 градусах,</w:t>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sz w:val="24"/>
                <w:szCs w:val="24"/>
              </w:rPr>
              <w:t>1.14</w:t>
            </w:r>
          </w:p>
        </w:tc>
        <w:tc>
          <w:tcPr>
            <w:tcW w:w="5103"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Время открытия створки</w:t>
            </w:r>
          </w:p>
        </w:tc>
        <w:tc>
          <w:tcPr>
            <w:tcW w:w="4095"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18 секунд — для открытия на 90 градусов</w:t>
              <w:br/>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1.15</w:t>
            </w:r>
          </w:p>
        </w:tc>
        <w:tc>
          <w:tcPr>
            <w:tcW w:w="5103"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Напряжение питания</w:t>
            </w:r>
          </w:p>
        </w:tc>
        <w:tc>
          <w:tcPr>
            <w:tcW w:w="4095"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220 Вольт переменного тока для питания блока управления. Преобразование напряжения 220 Вольт в безопасное напряжение 27, 12 и 5 вольт постоянного тока производится в блоке управления</w:t>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sz w:val="24"/>
                <w:szCs w:val="24"/>
              </w:rPr>
              <w:t>1.16</w:t>
            </w:r>
          </w:p>
        </w:tc>
        <w:tc>
          <w:tcPr>
            <w:tcW w:w="5103"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 xml:space="preserve"> </w:t>
            </w:r>
            <w:r>
              <w:rPr>
                <w:rStyle w:val="Style8"/>
                <w:rFonts w:eastAsia="Times New Roman" w:cs="Times New Roman"/>
                <w:b w:val="false"/>
                <w:bCs w:val="false"/>
                <w:i w:val="false"/>
                <w:iCs w:val="false"/>
                <w:color w:val="000000"/>
                <w:kern w:val="0"/>
                <w:sz w:val="24"/>
                <w:szCs w:val="24"/>
                <w:shd w:fill="auto" w:val="clear"/>
                <w:lang w:val="ru-RU" w:eastAsia="ru-RU" w:bidi="ar-SA"/>
              </w:rPr>
              <w:t>Электродвигатель</w:t>
            </w:r>
          </w:p>
        </w:tc>
        <w:tc>
          <w:tcPr>
            <w:tcW w:w="4095"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Постоянного тока напряжением 24(27) Вольт.</w:t>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sz w:val="24"/>
                <w:szCs w:val="24"/>
              </w:rPr>
              <w:t>1.17</w:t>
            </w:r>
          </w:p>
        </w:tc>
        <w:tc>
          <w:tcPr>
            <w:tcW w:w="5103"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Перегрузочная способность</w:t>
            </w:r>
          </w:p>
        </w:tc>
        <w:tc>
          <w:tcPr>
            <w:tcW w:w="4095"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трехкратная. Максимальный ток — 30 А</w:t>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sz w:val="24"/>
                <w:szCs w:val="24"/>
              </w:rPr>
              <w:t>1.18</w:t>
            </w:r>
          </w:p>
        </w:tc>
        <w:tc>
          <w:tcPr>
            <w:tcW w:w="5103"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Электромуфта</w:t>
            </w:r>
          </w:p>
        </w:tc>
        <w:tc>
          <w:tcPr>
            <w:tcW w:w="4095"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Электромагнитная фрикционная. Защемляет вал двигателя при отсутствии напряжения на двигателе, тем самым блокируя створку от принудительного открытия. Защищает привод от слома при наезде машины на створку ворот</w:t>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sz w:val="24"/>
                <w:szCs w:val="24"/>
              </w:rPr>
              <w:t>1.19</w:t>
            </w:r>
          </w:p>
        </w:tc>
        <w:tc>
          <w:tcPr>
            <w:tcW w:w="5103"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Система коммутации электродвигателями</w:t>
              <w:br/>
            </w:r>
          </w:p>
        </w:tc>
        <w:tc>
          <w:tcPr>
            <w:tcW w:w="4095"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Безискровая через оптосимисторы.</w:t>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sz w:val="24"/>
                <w:szCs w:val="24"/>
              </w:rPr>
              <w:t>1.20</w:t>
            </w:r>
          </w:p>
        </w:tc>
        <w:tc>
          <w:tcPr>
            <w:tcW w:w="5103"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Защита электродвигателя</w:t>
              <w:br/>
              <w:t>Защита двигателя от перегрузки — через электронную схему сравнения тока двигателя с заданным (этим же задается и сила привода). Резервная защита – по обратному отсчету времени</w:t>
            </w:r>
          </w:p>
        </w:tc>
        <w:tc>
          <w:tcPr>
            <w:tcW w:w="4095"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Защита двигателя от перегрузки — через электронную схему сравнения тока двигателя с заданным (этим же задается и сила привода). Резервная защита – по обратному отсчету времени</w:t>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sz w:val="24"/>
                <w:szCs w:val="24"/>
              </w:rPr>
            </w:r>
          </w:p>
        </w:tc>
        <w:tc>
          <w:tcPr>
            <w:tcW w:w="5103"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Наличие блокировки ворот в закрытом состоянии (невозможность открытия ворот взламывающим усилием людей)</w:t>
            </w:r>
          </w:p>
        </w:tc>
        <w:tc>
          <w:tcPr>
            <w:tcW w:w="4095"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Да.</w:t>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sz w:val="24"/>
                <w:szCs w:val="24"/>
              </w:rPr>
            </w:r>
          </w:p>
        </w:tc>
        <w:tc>
          <w:tcPr>
            <w:tcW w:w="5103"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 xml:space="preserve"> </w:t>
            </w:r>
            <w:r>
              <w:rPr>
                <w:rStyle w:val="Style8"/>
                <w:rFonts w:eastAsia="Times New Roman" w:cs="Times New Roman"/>
                <w:b w:val="false"/>
                <w:bCs w:val="false"/>
                <w:i w:val="false"/>
                <w:iCs w:val="false"/>
                <w:color w:val="000000"/>
                <w:kern w:val="0"/>
                <w:sz w:val="24"/>
                <w:szCs w:val="24"/>
                <w:shd w:fill="auto" w:val="clear"/>
                <w:lang w:val="ru-RU" w:eastAsia="ru-RU" w:bidi="ar-SA"/>
              </w:rPr>
              <w:t>Дистанционная система управления</w:t>
              <w:br/>
            </w:r>
          </w:p>
        </w:tc>
        <w:tc>
          <w:tcPr>
            <w:tcW w:w="4095"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MSRF-3(4) (российского производства) — с температурным режимом до минус 40.</w:t>
            </w:r>
          </w:p>
        </w:tc>
      </w:tr>
      <w:tr>
        <w:trPr/>
        <w:tc>
          <w:tcPr>
            <w:tcW w:w="837" w:type="dxa"/>
            <w:tcBorders>
              <w:top w:val="nil"/>
            </w:tcBorders>
            <w:vAlign w:val="center"/>
          </w:tcPr>
          <w:p>
            <w:pPr>
              <w:pStyle w:val="Normal"/>
              <w:widowControl w:val="false"/>
              <w:suppressAutoHyphens w:val="true"/>
              <w:spacing w:before="0" w:after="200"/>
              <w:jc w:val="both"/>
              <w:rPr>
                <w:sz w:val="24"/>
                <w:szCs w:val="24"/>
              </w:rPr>
            </w:pPr>
            <w:r>
              <w:rPr>
                <w:sz w:val="24"/>
                <w:szCs w:val="24"/>
              </w:rPr>
            </w:r>
          </w:p>
        </w:tc>
        <w:tc>
          <w:tcPr>
            <w:tcW w:w="5103"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Количество брелков дистанционного управления</w:t>
            </w:r>
          </w:p>
        </w:tc>
        <w:tc>
          <w:tcPr>
            <w:tcW w:w="4095" w:type="dxa"/>
            <w:tcBorders>
              <w:top w:val="nil"/>
            </w:tcBorders>
            <w:shd w:color="auto" w:fill="auto" w:val="clear"/>
          </w:tcPr>
          <w:p>
            <w:pPr>
              <w:pStyle w:val="Normal"/>
              <w:widowControl w:val="false"/>
              <w:ind w:left="0" w:right="0" w:hanging="0"/>
              <w:jc w:val="left"/>
              <w:rPr/>
            </w:pPr>
            <w:r>
              <w:rPr>
                <w:rStyle w:val="Style8"/>
                <w:rFonts w:eastAsia="Times New Roman" w:cs="Times New Roman"/>
                <w:b w:val="false"/>
                <w:bCs w:val="false"/>
                <w:i w:val="false"/>
                <w:iCs w:val="false"/>
                <w:color w:val="000000"/>
                <w:kern w:val="0"/>
                <w:sz w:val="24"/>
                <w:szCs w:val="24"/>
                <w:shd w:fill="auto" w:val="clear"/>
                <w:lang w:val="ru-RU" w:eastAsia="ru-RU" w:bidi="ar-SA"/>
              </w:rPr>
              <w:t>Не менее 2.Дальность — до 50 метров.</w:t>
            </w:r>
          </w:p>
        </w:tc>
      </w:tr>
      <w:tr>
        <w:trPr/>
        <w:tc>
          <w:tcPr>
            <w:tcW w:w="837"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4.</w:t>
            </w:r>
          </w:p>
        </w:tc>
        <w:tc>
          <w:tcPr>
            <w:tcW w:w="9198" w:type="dxa"/>
            <w:gridSpan w:val="2"/>
            <w:tcBorders/>
            <w:shd w:color="auto" w:fill="auto" w:val="clea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Требования к гарантиям, гарантийному и послегарантийному обслуживанию</w:t>
            </w:r>
          </w:p>
        </w:tc>
      </w:tr>
      <w:tr>
        <w:trPr/>
        <w:tc>
          <w:tcPr>
            <w:tcW w:w="837"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4.1</w:t>
            </w:r>
          </w:p>
        </w:tc>
        <w:tc>
          <w:tcPr>
            <w:tcW w:w="5103" w:type="dxa"/>
            <w:tcBorders>
              <w:top w:val="nil"/>
            </w:tcBorders>
            <w:shd w:color="auto" w:fill="auto" w:val="clear"/>
          </w:tcPr>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sz w:val="24"/>
                <w:szCs w:val="24"/>
              </w:rPr>
            </w:pPr>
            <w:r>
              <w:rPr>
                <w:rFonts w:eastAsia="Calibri" w:cs="Times New Roman"/>
                <w:kern w:val="0"/>
                <w:sz w:val="24"/>
                <w:szCs w:val="24"/>
                <w:lang w:val="en-US" w:eastAsia="ru-RU" w:bidi="ar-SA"/>
              </w:rPr>
              <w:t>Га</w:t>
            </w:r>
            <w:r>
              <w:rPr>
                <w:rFonts w:eastAsia="Calibri" w:cs="Times New Roman"/>
                <w:kern w:val="0"/>
                <w:sz w:val="24"/>
                <w:szCs w:val="24"/>
                <w:lang w:val="ru-RU" w:eastAsia="ru-RU" w:bidi="ar-SA"/>
              </w:rPr>
              <w:t>рантия, не менее</w:t>
            </w:r>
          </w:p>
        </w:tc>
        <w:tc>
          <w:tcPr>
            <w:tcW w:w="4095" w:type="dxa"/>
            <w:tcBorders>
              <w:top w:val="nil"/>
            </w:tcBorders>
            <w:shd w:color="auto" w:fill="auto" w:val="clea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 xml:space="preserve">Поставщик обязан установить на продукцию гарантийный срок не менее </w:t>
            </w:r>
            <w:r>
              <w:rPr>
                <w:rFonts w:eastAsia="Calibri" w:cs="Times New Roman"/>
                <w:color w:val="000000"/>
                <w:kern w:val="0"/>
                <w:sz w:val="24"/>
                <w:szCs w:val="24"/>
                <w:lang w:val="ru-RU" w:eastAsia="ru-RU" w:bidi="ar-SA"/>
              </w:rPr>
              <w:t xml:space="preserve">36 (тридцати шести) </w:t>
            </w:r>
            <w:r>
              <w:rPr>
                <w:rFonts w:eastAsia="Calibri" w:cs="Times New Roman"/>
                <w:kern w:val="0"/>
                <w:sz w:val="24"/>
                <w:szCs w:val="24"/>
                <w:lang w:val="ru-RU" w:eastAsia="ru-RU" w:bidi="ar-SA"/>
              </w:rPr>
              <w:t>месяцев с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p>
        </w:tc>
      </w:tr>
      <w:tr>
        <w:trPr/>
        <w:tc>
          <w:tcPr>
            <w:tcW w:w="837" w:type="dxa"/>
            <w:tcBorders>
              <w:top w:val="nil"/>
            </w:tcBorders>
            <w:vAlign w:val="center"/>
          </w:tcPr>
          <w:p>
            <w:pPr>
              <w:pStyle w:val="ListParagraph"/>
              <w:widowControl w:val="false"/>
              <w:suppressAutoHyphens w:val="true"/>
              <w:spacing w:before="60" w:after="60"/>
              <w:ind w:left="-117" w:hanging="0"/>
              <w:contextualSpacing/>
              <w:jc w:val="center"/>
              <w:rPr>
                <w:lang w:val="en-US"/>
              </w:rPr>
            </w:pPr>
            <w:r>
              <w:rPr>
                <w:rFonts w:cs="Times New Roman"/>
                <w:b/>
                <w:bCs/>
                <w:kern w:val="0"/>
                <w:lang w:val="ru-RU" w:eastAsia="ru-RU" w:bidi="ar-SA"/>
              </w:rPr>
              <w:t>5</w:t>
            </w:r>
            <w:r>
              <w:rPr>
                <w:rFonts w:cs="Times New Roman"/>
                <w:b/>
                <w:bCs/>
                <w:kern w:val="0"/>
                <w:lang w:val="en-US" w:eastAsia="ru-RU" w:bidi="ar-SA"/>
              </w:rPr>
              <w:t>.</w:t>
            </w:r>
          </w:p>
        </w:tc>
        <w:tc>
          <w:tcPr>
            <w:tcW w:w="9198" w:type="dxa"/>
            <w:gridSpan w:val="2"/>
            <w:tcBorders>
              <w:top w:val="nil"/>
            </w:tcBorders>
            <w:shd w:color="auto" w:fill="auto" w:val="clear"/>
          </w:tcPr>
          <w:p>
            <w:pPr>
              <w:pStyle w:val="Normal"/>
              <w:widowControl w:val="false"/>
              <w:suppressAutoHyphens w:val="true"/>
              <w:spacing w:before="0" w:after="200"/>
              <w:jc w:val="left"/>
              <w:rPr>
                <w:sz w:val="24"/>
                <w:szCs w:val="24"/>
              </w:rPr>
            </w:pPr>
            <w:r>
              <w:rPr>
                <w:rFonts w:eastAsia="Calibri" w:cs="Times New Roman"/>
                <w:b/>
                <w:kern w:val="0"/>
                <w:sz w:val="24"/>
                <w:szCs w:val="24"/>
                <w:lang w:val="ru-RU" w:eastAsia="ru-RU" w:bidi="ar-SA"/>
              </w:rPr>
              <w:t>Требования к комплектации и документам, поставляемым вместе с продукцией</w:t>
            </w:r>
          </w:p>
        </w:tc>
      </w:tr>
      <w:tr>
        <w:trPr/>
        <w:tc>
          <w:tcPr>
            <w:tcW w:w="837"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5.1</w:t>
            </w:r>
          </w:p>
        </w:tc>
        <w:tc>
          <w:tcPr>
            <w:tcW w:w="5103" w:type="dxa"/>
            <w:tcBorders>
              <w:top w:val="nil"/>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Документы, передаваемые вместе с продукцией</w:t>
            </w:r>
          </w:p>
        </w:tc>
        <w:tc>
          <w:tcPr>
            <w:tcW w:w="4095" w:type="dxa"/>
            <w:tcBorders>
              <w:top w:val="nil"/>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Паспорт; сертификат качества;</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Руководство по эксплуатации и техническому обслуживанию (на русском языке);</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Товарную накладную унифицированной формы ТОРГ-12(УПД) в 2 экз.</w:t>
            </w:r>
          </w:p>
        </w:tc>
      </w:tr>
      <w:tr>
        <w:trPr/>
        <w:tc>
          <w:tcPr>
            <w:tcW w:w="837" w:type="dxa"/>
            <w:tcBorders/>
            <w:vAlign w:val="center"/>
          </w:tcPr>
          <w:p>
            <w:pPr>
              <w:pStyle w:val="Normal"/>
              <w:widowControl w:val="false"/>
              <w:suppressAutoHyphens w:val="true"/>
              <w:spacing w:before="60" w:after="60"/>
              <w:jc w:val="left"/>
              <w:rPr>
                <w:sz w:val="24"/>
                <w:szCs w:val="24"/>
                <w:lang w:val="en-US"/>
              </w:rPr>
            </w:pPr>
            <w:r>
              <w:rPr>
                <w:rFonts w:eastAsia="Times New Roman" w:cs="Times New Roman"/>
                <w:b/>
                <w:bCs/>
                <w:kern w:val="0"/>
                <w:sz w:val="24"/>
                <w:szCs w:val="24"/>
                <w:lang w:val="en-US" w:eastAsia="x-none" w:bidi="ar-SA"/>
              </w:rPr>
              <w:t xml:space="preserve">    </w:t>
            </w:r>
            <w:r>
              <w:rPr>
                <w:rFonts w:eastAsia="Times New Roman" w:cs="Times New Roman"/>
                <w:b/>
                <w:bCs/>
                <w:kern w:val="0"/>
                <w:sz w:val="24"/>
                <w:szCs w:val="24"/>
                <w:lang w:val="ru-RU" w:eastAsia="x-none" w:bidi="ar-SA"/>
              </w:rPr>
              <w:t>6</w:t>
            </w:r>
            <w:r>
              <w:rPr>
                <w:rFonts w:eastAsia="Times New Roman" w:cs="Times New Roman"/>
                <w:b/>
                <w:bCs/>
                <w:kern w:val="0"/>
                <w:sz w:val="24"/>
                <w:szCs w:val="24"/>
                <w:lang w:val="en-US" w:eastAsia="x-none" w:bidi="ar-SA"/>
              </w:rPr>
              <w:t>.</w:t>
            </w:r>
          </w:p>
        </w:tc>
        <w:tc>
          <w:tcPr>
            <w:tcW w:w="9198"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b/>
                <w:bCs/>
                <w:kern w:val="0"/>
                <w:sz w:val="24"/>
                <w:szCs w:val="24"/>
                <w:lang w:val="ru-RU" w:eastAsia="ru-RU" w:bidi="ar-SA"/>
              </w:rPr>
              <w:t>Требования к доставке,  маркировке, упаковке, транспортировке, перемещению, условиям хранения, приемке и испытаниям</w:t>
            </w:r>
          </w:p>
        </w:tc>
      </w:tr>
      <w:tr>
        <w:trPr/>
        <w:tc>
          <w:tcPr>
            <w:tcW w:w="837"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6.1</w:t>
            </w:r>
          </w:p>
        </w:tc>
        <w:tc>
          <w:tcPr>
            <w:tcW w:w="5103"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Место поставки</w:t>
            </w:r>
          </w:p>
        </w:tc>
        <w:tc>
          <w:tcPr>
            <w:tcW w:w="4095"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404130, Волгоградская обл., г.Волжский, пр-т Ленина 1А территория филиала ПАО «РусГидро» - Волжская ГЭС».</w:t>
            </w:r>
          </w:p>
        </w:tc>
      </w:tr>
      <w:tr>
        <w:trPr/>
        <w:tc>
          <w:tcPr>
            <w:tcW w:w="837"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6.2</w:t>
            </w:r>
          </w:p>
        </w:tc>
        <w:tc>
          <w:tcPr>
            <w:tcW w:w="5103"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Приемка продукции</w:t>
            </w:r>
          </w:p>
        </w:tc>
        <w:tc>
          <w:tcPr>
            <w:tcW w:w="4095"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Только в рабочие дни с 9-00 до 11-00 и с 13-00 до 16-00</w:t>
            </w:r>
          </w:p>
        </w:tc>
      </w:tr>
      <w:tr>
        <w:trPr/>
        <w:tc>
          <w:tcPr>
            <w:tcW w:w="837"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6.3</w:t>
            </w:r>
          </w:p>
        </w:tc>
        <w:tc>
          <w:tcPr>
            <w:tcW w:w="9198" w:type="dxa"/>
            <w:gridSpan w:val="2"/>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Информация о транспорте, на котором осуществляется доставка, для оформления допуска на территорию предоставляется не позднее предыдущего рабочего дня до прибытия транспорта</w:t>
            </w:r>
          </w:p>
        </w:tc>
      </w:tr>
      <w:tr>
        <w:trPr/>
        <w:tc>
          <w:tcPr>
            <w:tcW w:w="837" w:type="dxa"/>
            <w:tcBorders/>
            <w:vAlign w:val="center"/>
          </w:tcPr>
          <w:p>
            <w:pPr>
              <w:pStyle w:val="Normal"/>
              <w:widowControl w:val="false"/>
              <w:suppressAutoHyphens w:val="true"/>
              <w:spacing w:before="60" w:after="60"/>
              <w:jc w:val="left"/>
              <w:rPr>
                <w:sz w:val="24"/>
                <w:szCs w:val="24"/>
                <w:lang w:val="en-US"/>
              </w:rPr>
            </w:pPr>
            <w:r>
              <w:rPr>
                <w:rFonts w:eastAsia="Times New Roman" w:cs="Times New Roman"/>
                <w:b/>
                <w:bCs/>
                <w:kern w:val="0"/>
                <w:sz w:val="24"/>
                <w:szCs w:val="24"/>
                <w:lang w:val="en-US" w:eastAsia="x-none" w:bidi="ar-SA"/>
              </w:rPr>
              <w:t xml:space="preserve">    </w:t>
            </w:r>
            <w:r>
              <w:rPr>
                <w:rFonts w:eastAsia="Times New Roman" w:cs="Times New Roman"/>
                <w:b/>
                <w:bCs/>
                <w:kern w:val="0"/>
                <w:sz w:val="24"/>
                <w:szCs w:val="24"/>
                <w:lang w:val="ru-RU" w:eastAsia="x-none" w:bidi="ar-SA"/>
              </w:rPr>
              <w:t>7</w:t>
            </w:r>
            <w:r>
              <w:rPr>
                <w:rFonts w:eastAsia="Times New Roman" w:cs="Times New Roman"/>
                <w:b/>
                <w:bCs/>
                <w:kern w:val="0"/>
                <w:sz w:val="24"/>
                <w:szCs w:val="24"/>
                <w:lang w:val="en-US" w:eastAsia="x-none" w:bidi="ar-SA"/>
              </w:rPr>
              <w:t>.</w:t>
            </w:r>
          </w:p>
        </w:tc>
        <w:tc>
          <w:tcPr>
            <w:tcW w:w="9198" w:type="dxa"/>
            <w:gridSpan w:val="2"/>
            <w:tcBorders/>
            <w:vAlign w:val="center"/>
          </w:tcPr>
          <w:p>
            <w:pPr>
              <w:pStyle w:val="Normal"/>
              <w:widowControl w:val="false"/>
              <w:suppressAutoHyphens w:val="true"/>
              <w:spacing w:before="60" w:after="60"/>
              <w:jc w:val="left"/>
              <w:rPr>
                <w:sz w:val="24"/>
                <w:szCs w:val="24"/>
              </w:rPr>
            </w:pPr>
            <w:r>
              <w:rPr>
                <w:rFonts w:eastAsia="Times New Roman" w:cs="Times New Roman"/>
                <w:b/>
                <w:kern w:val="0"/>
                <w:sz w:val="24"/>
                <w:szCs w:val="24"/>
                <w:lang w:val="ru-RU" w:eastAsia="ru-RU" w:bidi="ar-SA"/>
              </w:rPr>
              <w:t>Прочие (дополнительные) требования к продукции</w:t>
            </w:r>
          </w:p>
        </w:tc>
      </w:tr>
      <w:tr>
        <w:trPr/>
        <w:tc>
          <w:tcPr>
            <w:tcW w:w="837"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7.1</w:t>
            </w:r>
          </w:p>
        </w:tc>
        <w:tc>
          <w:tcPr>
            <w:tcW w:w="9198" w:type="dxa"/>
            <w:gridSpan w:val="2"/>
            <w:tcBorders/>
            <w:vAlign w:val="cente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Продукция должна соответствовать требованиям: Технического регламента Таможенного союза «О безопасности машин и оборудования» ТР ТС 010/2011.</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Продукция должна поставляться в пригодной для транспортировки упаковке, которая может защитить его от воздействия внешних условий, таких как вода, пыль и т.п. Упаковка должна обеспечивать полную сохранность продукции на весь срок его транспортировки с учетом перегрузок и длительного хранения.</w:t>
            </w:r>
          </w:p>
        </w:tc>
      </w:tr>
    </w:tbl>
    <w:p>
      <w:pPr>
        <w:pStyle w:val="Heading1"/>
        <w:spacing w:before="120" w:after="60"/>
        <w:ind w:left="1224" w:hanging="0"/>
        <w:rPr/>
      </w:pPr>
      <w:r>
        <w:rPr/>
      </w:r>
    </w:p>
    <w:p>
      <w:pPr>
        <w:pStyle w:val="Normal"/>
        <w:spacing w:before="120" w:after="60"/>
        <w:ind w:hanging="0"/>
        <w:rPr/>
      </w:pPr>
      <w:r>
        <w:rPr/>
      </w:r>
    </w:p>
    <w:p>
      <w:pPr>
        <w:pStyle w:val="Normal"/>
        <w:spacing w:before="120" w:after="60"/>
        <w:ind w:left="1224" w:hanging="0"/>
        <w:rPr/>
      </w:pPr>
      <w:r>
        <w:rPr/>
      </w:r>
    </w:p>
    <w:tbl>
      <w:tblPr>
        <w:tblW w:w="1119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649"/>
        <w:gridCol w:w="6546"/>
      </w:tblGrid>
      <w:tr>
        <w:trPr/>
        <w:tc>
          <w:tcPr>
            <w:tcW w:w="4649" w:type="dxa"/>
            <w:tcBorders/>
            <w:shd w:color="auto" w:fill="auto" w:val="clear"/>
          </w:tcPr>
          <w:p>
            <w:pPr>
              <w:pStyle w:val="Normal"/>
              <w:widowControl w:val="false"/>
              <w:tabs>
                <w:tab w:val="clear" w:pos="708"/>
                <w:tab w:val="left" w:pos="1125" w:leader="none"/>
              </w:tabs>
              <w:spacing w:before="0" w:after="0"/>
              <w:contextualSpacing/>
              <w:rPr>
                <w:rFonts w:ascii="Times New Roman" w:hAnsi="Times New Roman"/>
                <w:bCs/>
              </w:rPr>
            </w:pPr>
            <w:r>
              <w:rPr/>
            </w:r>
          </w:p>
        </w:tc>
        <w:tc>
          <w:tcPr>
            <w:tcW w:w="6546" w:type="dxa"/>
            <w:tcBorders/>
            <w:shd w:color="auto" w:fill="auto" w:val="clear"/>
          </w:tcPr>
          <w:p>
            <w:pPr>
              <w:pStyle w:val="Normal"/>
              <w:widowControl w:val="false"/>
              <w:tabs>
                <w:tab w:val="clear" w:pos="708"/>
                <w:tab w:val="left" w:pos="1125" w:leader="none"/>
              </w:tabs>
              <w:spacing w:before="0" w:after="0"/>
              <w:contextualSpacing/>
              <w:jc w:val="center"/>
              <w:rPr>
                <w:rFonts w:ascii="Times New Roman" w:hAnsi="Times New Roman"/>
                <w:bCs/>
              </w:rPr>
            </w:pPr>
            <w:r>
              <w:rPr/>
            </w:r>
          </w:p>
        </w:tc>
      </w:tr>
    </w:tbl>
    <w:p>
      <w:pPr>
        <w:pStyle w:val="Normal"/>
        <w:rPr/>
      </w:pPr>
      <w:r>
        <w:rPr/>
      </w:r>
    </w:p>
    <w:sectPr>
      <w:headerReference w:type="default" r:id="rId2"/>
      <w:headerReference w:type="first" r:id="rId3"/>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6"/>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1" w:customStyle="1">
    <w:name w:val="Гиперссылка1"/>
    <w:uiPriority w:val="99"/>
    <w:qFormat/>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6"/>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2" w:customStyle="1">
    <w:name w:val="Подпункт Знак1"/>
    <w:link w:val="Style21"/>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3" w:customStyle="1">
    <w:name w:val="УРОВЕНЬ_1. Знак"/>
    <w:link w:val="110"/>
    <w:qFormat/>
    <w:rsid w:val="004a17ae"/>
    <w:rPr>
      <w:rFonts w:eastAsia="Calibri"/>
      <w:caps/>
      <w:sz w:val="28"/>
      <w:szCs w:val="28"/>
      <w:lang w:eastAsia="en-US"/>
    </w:rPr>
  </w:style>
  <w:style w:type="character" w:styleId="14"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Style14" w:customStyle="1">
    <w:name w:val="Ссылка указателя"/>
    <w:qFormat/>
    <w:rPr/>
  </w:style>
  <w:style w:type="character" w:styleId="Hyperlink">
    <w:name w:val="Hyperlink"/>
    <w:basedOn w:val="DefaultParagraphFont"/>
    <w:uiPriority w:val="99"/>
    <w:unhideWhenUsed/>
    <w:rsid w:val="0087245f"/>
    <w:rPr>
      <w:color w:val="0563C1" w:themeColor="hyperlink"/>
      <w:u w:val="single"/>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next w:val="Normal"/>
    <w:uiPriority w:val="35"/>
    <w:qFormat/>
    <w:rsid w:val="00d22f6d"/>
    <w:pPr/>
    <w:rPr>
      <w:rFonts w:eastAsia="Calibri"/>
      <w:b/>
      <w:bCs/>
      <w:color w:val="4F81BD"/>
      <w:sz w:val="18"/>
      <w:szCs w:val="18"/>
    </w:rPr>
  </w:style>
  <w:style w:type="paragraph" w:styleId="Indexheading11" w:customStyle="1">
    <w:name w:val="index heading1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5"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6"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link w:val="12"/>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7"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8"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9"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10" w:customStyle="1">
    <w:name w:val="УРОВЕНЬ_1."/>
    <w:basedOn w:val="ListParagraph"/>
    <w:link w:val="13"/>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111" w:customStyle="1">
    <w:name w:val="Основной текст1"/>
    <w:basedOn w:val="Normal"/>
    <w:qFormat/>
    <w:pPr>
      <w:widowControl w:val="false"/>
      <w:shd w:val="clear" w:color="auto" w:fill="FFFFFF"/>
      <w:spacing w:lineRule="exact" w:line="302"/>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pPr>
      <w:jc w:val="center"/>
    </w:pPr>
    <w:rPr>
      <w:b/>
      <w:bCs/>
    </w:rPr>
  </w:style>
  <w:style w:type="numbering" w:styleId="NoList" w:default="1">
    <w:name w:val="No List"/>
    <w:uiPriority w:val="99"/>
    <w:semiHidden/>
    <w:unhideWhenUsed/>
    <w:qFormat/>
  </w:style>
  <w:style w:type="numbering" w:styleId="112"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6">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e">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9B493-3199-4B66-BE74-97FEEB3C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Application>AlterOffice/3.4.0.9$Linux_X86_64 LibreOffice_project/b8daf9e823b1a5463a2f48435ddc2e8696e7d4fc</Application>
  <AppVersion>15.0000</AppVersion>
  <DocSecurity>4</DocSecurity>
  <Pages>4</Pages>
  <Words>681</Words>
  <Characters>4634</Characters>
  <CharactersWithSpaces>5231</CharactersWithSpaces>
  <Paragraphs>114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2024-12-04T13:04:00Z</dcterms:created>
  <dc:creator>Быстров Олег Геннадьевич</dc:creator>
  <dc:description/>
  <dc:language>ru-RU</dc:language>
  <cp:lastModifiedBy/>
  <dcterms:modified xsi:type="dcterms:W3CDTF">2026-06-10T16:06:13Z</dcterms:modified>
  <cp:revision>32</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