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jc w:val="right"/>
        <w:rPr>
          <w:sz w:val="24"/>
          <w:szCs w:val="24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Style w:val="Style8"/>
          <w:rFonts w:eastAsia="Times New Roman" w:cs="Times New Roman"/>
          <w:i w:val="false"/>
          <w:i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ОКПД2 74.90.13.000 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</w:t>
      </w:r>
    </w:p>
    <w:p>
      <w:pPr>
        <w:pStyle w:val="Normal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b w:val="false"/>
          <w:i w:val="false"/>
          <w:i w:val="false"/>
          <w:iCs w:val="false"/>
        </w:rPr>
      </w:pPr>
      <w:r>
        <w:rPr>
          <w:b w:val="false"/>
          <w:i w:val="false"/>
          <w:iCs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СОДЕРЖАНИЕ</w:t>
      </w:r>
    </w:p>
    <w:p>
      <w:pPr>
        <w:pStyle w:val="Normal"/>
        <w:jc w:val="center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</w:t>
        <w:tab/>
        <w:t>Общие сведения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1.1.</w:t>
        <w:tab/>
        <w:t>Обозначения и сокращения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1.2.</w:t>
        <w:tab/>
        <w:t>Наименование закупаемой продукции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1.3.</w:t>
        <w:tab/>
        <w:t>Цель оказания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Таблица 1. Перечень объектов заказчика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1.4.</w:t>
        <w:tab/>
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1.5.</w:t>
        <w:tab/>
        <w:t xml:space="preserve">Иные требования и сведения общего характера 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</w:t>
        <w:tab/>
        <w:t>Требования к продукции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2.1.</w:t>
        <w:tab/>
        <w:t>Требования к объемам и срокам оказания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2.1.1.</w:t>
        <w:tab/>
        <w:t>Требования к перечню и объему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Таблица 2. Перечень и объем оказываемых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2.1.2.</w:t>
        <w:tab/>
        <w:t>Требования к срокам оказания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2.2.</w:t>
        <w:tab/>
        <w:t>Требования к качеству услуг</w:t>
      </w:r>
    </w:p>
    <w:p>
      <w:pPr>
        <w:pStyle w:val="Normal"/>
        <w:jc w:val="both"/>
        <w:rPr>
          <w:rFonts w:eastAsia="Calibri"/>
          <w:b/>
          <w:i w:val="false"/>
          <w:i w:val="false"/>
          <w:iCs w:val="false"/>
          <w:sz w:val="24"/>
          <w:szCs w:val="24"/>
        </w:rPr>
      </w:pPr>
      <w:r>
        <w:rPr>
          <w:rFonts w:eastAsia="Calibri"/>
          <w:b/>
          <w:i w:val="false"/>
          <w:iCs w:val="false"/>
          <w:sz w:val="24"/>
          <w:szCs w:val="24"/>
        </w:rPr>
        <w:t>Таблица 3. Требования к качеству услуг</w:t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91" w:type="dxa"/>
        <w:jc w:val="center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val="04a0" w:noHBand="0" w:noVBand="1" w:firstColumn="1" w:lastRow="0" w:lastColumn="0" w:firstRow="1"/>
      </w:tblPr>
      <w:tblGrid>
        <w:gridCol w:w="2061"/>
        <w:gridCol w:w="375"/>
        <w:gridCol w:w="7355"/>
      </w:tblGrid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Филиал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НД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Нормативный документ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НВОС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Негативное воздействие на окружающую среду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Проект НДВ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Проект нормативно-допустимых выбросов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НМУ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Неблагоприятные метеорологические условия</w:t>
            </w:r>
          </w:p>
        </w:tc>
      </w:tr>
      <w:tr>
        <w:trPr>
          <w:cantSplit w:val="true"/>
        </w:trPr>
        <w:tc>
          <w:tcPr>
            <w:tcW w:w="2061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ИЗАВ</w:t>
            </w:r>
          </w:p>
        </w:tc>
        <w:tc>
          <w:tcPr>
            <w:tcW w:w="3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–</w:t>
            </w:r>
          </w:p>
        </w:tc>
        <w:tc>
          <w:tcPr>
            <w:tcW w:w="735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загрязнения атмосферного воздуха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suppressAutoHyphens w:val="true"/>
        <w:bidi w:val="0"/>
        <w:ind w:left="0" w:right="0" w:firstLine="709"/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uppressAutoHyphens w:val="true"/>
        <w:bidi w:val="0"/>
        <w:spacing w:before="120" w:after="120"/>
        <w:ind w:left="0" w:right="0" w:firstLine="709"/>
        <w:jc w:val="both"/>
        <w:rPr/>
      </w:pPr>
      <w:r>
        <w:rPr>
          <w:rFonts w:eastAsia="Calibri"/>
          <w:i/>
          <w:sz w:val="24"/>
          <w:szCs w:val="24"/>
          <w:u w:val="single"/>
          <w:lang w:eastAsia="x-none"/>
        </w:rPr>
        <w:t>Услуги по проведению инвентаризации и разработка проекта нормативов допустимых выбросов для нужд филиала ПАО «РусГидро»- «Бурейская ГЭС», а также получение санитарно-эпидемиологического заключения о соответствии нормативов допустимых выбросов санитарным правилам, разработка плана мероприятий по уменьшению выбросов в периоды НМУ.</w:t>
      </w:r>
    </w:p>
    <w:p>
      <w:pPr>
        <w:pStyle w:val="Heading4"/>
        <w:numPr>
          <w:ilvl w:val="1"/>
          <w:numId w:val="3"/>
        </w:numPr>
        <w:suppressAutoHyphens w:val="true"/>
        <w:bidi w:val="0"/>
        <w:spacing w:before="240" w:after="60"/>
        <w:ind w:left="0" w:right="0" w:firstLine="709"/>
        <w:jc w:val="both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Выполнение требований:</w:t>
      </w:r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- Федерального закона от 10.01.2002  № 7-ФЗ « Об охране окружающей среды»;</w:t>
      </w:r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- Федерального закона от 04.05. 1999г.  № 96–ФЗ «Об охране атмосферного воздуха»</w:t>
      </w:r>
    </w:p>
    <w:p>
      <w:pPr>
        <w:pStyle w:val="Normal"/>
        <w:suppressAutoHyphens w:val="true"/>
        <w:bidi w:val="0"/>
        <w:spacing w:before="0" w:after="0"/>
        <w:ind w:left="0" w:right="0" w:firstLine="709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 xml:space="preserve">- Приказа Минприроды России от 18.02.2022 N 109 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«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Об утверждении требований к содержанию программы производственного экологического контроля, порядка и сроков представления отчета об организации и о результатах осуществления производственного экологического контроля</w:t>
      </w:r>
      <w:r>
        <w:rPr>
          <w:rStyle w:val="Style8"/>
          <w:rFonts w:eastAsia="Times New Roman" w:cs="Times New Roman"/>
          <w:b w:val="false"/>
          <w:bCs/>
          <w:i w:val="false"/>
          <w:iCs w:val="false"/>
          <w:color w:val="000000"/>
          <w:kern w:val="0"/>
          <w:sz w:val="24"/>
          <w:szCs w:val="24"/>
          <w:shd w:fill="auto" w:val="clear"/>
          <w:lang w:val="ru-RU" w:eastAsia="ru-RU" w:bidi="ar-SA"/>
        </w:rPr>
        <w:t>»</w:t>
      </w: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  <w:lang w:val="ru-RU"/>
        </w:rPr>
        <w:t>;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7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7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618"/>
        <w:gridCol w:w="2230"/>
        <w:gridCol w:w="4352"/>
        <w:gridCol w:w="2717"/>
      </w:tblGrid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объекта, категория НВОС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источников выбросов по результатам инвентаризации 2020 года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/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>
          <w:trHeight w:val="881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Бурейская ГЭС, </w:t>
            </w:r>
          </w:p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III категория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Times New Roman"/>
                <w:iCs/>
                <w:sz w:val="24"/>
                <w:szCs w:val="24"/>
                <w:shd w:fill="auto" w:val="clear"/>
              </w:rPr>
              <w:t>В материалах инвентаризации источников выбросов ЗВ за 2020 год содержится информация о 35 ИЗАВ.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676731 Амурская обл., Бурейский МО, п. Талакан</w:t>
            </w:r>
          </w:p>
        </w:tc>
      </w:tr>
      <w:tr>
        <w:trPr>
          <w:trHeight w:val="881" w:hRule="atLeast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Нижне-Бурейская ГЭС, III категория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В материалах инвентаризации источников выбросов ЗВ за 2020 год содержится информация о 23 ИЗАВ.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iCs/>
                <w:sz w:val="24"/>
                <w:szCs w:val="24"/>
                <w:shd w:fill="auto" w:val="clear"/>
              </w:rPr>
              <w:t>676720, Амурская обл., Бурейский МО, п.Новобурейский</w:t>
            </w:r>
          </w:p>
        </w:tc>
      </w:tr>
    </w:tbl>
    <w:p>
      <w:pPr>
        <w:pStyle w:val="Heading4"/>
        <w:widowControl/>
        <w:numPr>
          <w:ilvl w:val="1"/>
          <w:numId w:val="3"/>
        </w:numPr>
        <w:suppressAutoHyphens w:val="true"/>
        <w:bidi w:val="0"/>
        <w:ind w:left="0" w:right="0" w:firstLine="709"/>
        <w:jc w:val="both"/>
        <w:rPr/>
      </w:pPr>
      <w:bookmarkStart w:id="8" w:name="_Toc54643700"/>
      <w:bookmarkStart w:id="9" w:name="_Hlk49857604"/>
      <w:bookmarkStart w:id="10" w:name="_Toc46743509"/>
      <w:r>
        <w:rPr/>
        <w:t xml:space="preserve">Информация в отношении исполнения договора, </w:t>
      </w:r>
      <w:bookmarkStart w:id="11" w:name="_Hlk46492347"/>
      <w:r>
        <w:rPr/>
        <w:t xml:space="preserve">которая должна быть учтена при подготовке заявки </w:t>
      </w:r>
      <w:bookmarkEnd w:id="11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9"/>
      <w:bookmarkEnd w:id="10"/>
      <w:r>
        <w:rPr>
          <w:lang w:val="ru-RU"/>
        </w:rPr>
        <w:t xml:space="preserve"> </w:t>
      </w:r>
      <w:bookmarkEnd w:id="8"/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1.4.1. Услуги по </w:t>
      </w:r>
      <w:r>
        <w:rPr>
          <w:rStyle w:val="Style8"/>
          <w:rFonts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 w:eastAsia="ru-RU"/>
        </w:rPr>
        <w:t xml:space="preserve">проведению инвентаризации выбросов и разработке Проекта НДВ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оказываются в </w:t>
      </w:r>
      <w:r>
        <w:rPr>
          <w:rStyle w:val="Style8"/>
          <w:b w:val="false"/>
          <w:bCs w:val="false"/>
          <w:i w:val="false"/>
          <w:iCs w:val="false"/>
          <w:color w:val="000000"/>
          <w:sz w:val="24"/>
          <w:szCs w:val="24"/>
          <w:shd w:fill="auto" w:val="clear"/>
          <w:lang w:val="ru-RU"/>
        </w:rPr>
        <w:t>1 этап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 xml:space="preserve">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1.4.2. В рамках оказания Услуг (с даты заключения договора по 01.12.2026) должны быть выполнены следующие: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 xml:space="preserve">- Консультационные услуги по сбору исходных данных для разработки нормативов допустимых выбросов; </w:t>
      </w:r>
    </w:p>
    <w:p>
      <w:pPr>
        <w:pStyle w:val="Normal"/>
        <w:widowControl w:val="false"/>
        <w:tabs>
          <w:tab w:val="clear" w:pos="708"/>
          <w:tab w:val="left" w:pos="284" w:leader="none"/>
        </w:tabs>
        <w:spacing w:lineRule="auto" w:line="240"/>
        <w:ind w:left="0" w:hanging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>- Выезд специалистов на объект для проведения инвентаризации, сбора, систематизации и обобщения исходных данных;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</w:t>
      </w:r>
      <w:r>
        <w:rPr>
          <w:rFonts w:eastAsia="Times New Roman"/>
          <w:sz w:val="24"/>
          <w:szCs w:val="24"/>
        </w:rPr>
        <w:t>- Разработка отчетов по инвентаризации выбросов вредных (загрязняющих) веществ  в    атмосферный воздух и их источников (площадка Бурейская ГЭС, площадка Нижне – Бурейская ГЭС);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/>
        <w:ind w:left="0" w:hanging="0"/>
        <w:rPr>
          <w:sz w:val="24"/>
          <w:szCs w:val="24"/>
        </w:rPr>
      </w:pPr>
      <w:r>
        <w:rPr>
          <w:rFonts w:eastAsia="Times New Roman"/>
          <w:sz w:val="24"/>
          <w:szCs w:val="24"/>
          <w:shd w:fill="auto" w:val="clear"/>
        </w:rPr>
        <w:t xml:space="preserve">            </w:t>
      </w:r>
      <w:r>
        <w:rPr>
          <w:rFonts w:eastAsia="Times New Roman"/>
          <w:sz w:val="24"/>
          <w:szCs w:val="24"/>
          <w:shd w:fill="auto" w:val="clear"/>
        </w:rPr>
        <w:t>- Разработка и оформление проектов нормативов допустимых выбросов;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8"/>
          <w:rFonts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ab/>
        <w:t>- Получение санитарно-эпидемиологического заключения о соответствии нормативов допустимых выбросов санитарным правилам;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/>
      </w:pPr>
      <w:r>
        <w:rPr>
          <w:rStyle w:val="Style8"/>
          <w:rFonts w:eastAsia="Times New Roman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ab/>
        <w:t>- Разработка плана мероприятий по уменьшению выбросов в периоды НМУ (площадка Бурейская ГЭС, площадка Нижне – Бурейская ГЭС).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1.4.3. Точное количество источников и состав выбросов определяются по результатам проведенной в рамках заключаемого Договора инвентаризации.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  <w:lang w:val="ru-RU"/>
        </w:rPr>
        <w:t>1.4.4. Заказчик обязуется предоставить имеющиеся материалы по инвентаризации выбросов, в том числе необходимые сведения из Отчетов по инвентаризации и Проектов НДВ объектов филиала за 2020 год.</w:t>
      </w:r>
    </w:p>
    <w:p>
      <w:pPr>
        <w:pStyle w:val="Heading4"/>
        <w:widowControl/>
        <w:numPr>
          <w:ilvl w:val="1"/>
          <w:numId w:val="3"/>
        </w:numPr>
        <w:suppressAutoHyphens w:val="true"/>
        <w:bidi w:val="0"/>
        <w:ind w:left="0" w:right="0" w:firstLine="709"/>
        <w:jc w:val="both"/>
        <w:rPr/>
      </w:pPr>
      <w:bookmarkStart w:id="12" w:name="_Toc54643701"/>
      <w:bookmarkStart w:id="13" w:name="_Toc50125126"/>
      <w:bookmarkStart w:id="14" w:name="_Toc46743510"/>
      <w:bookmarkStart w:id="15" w:name="_Hlk48209761_Копия_1"/>
      <w:bookmarkEnd w:id="13"/>
      <w:bookmarkEnd w:id="14"/>
      <w:bookmarkEnd w:id="15"/>
      <w:r>
        <w:rPr>
          <w:i w:val="false"/>
          <w:iCs w:val="false"/>
          <w:shd w:fill="auto" w:val="clear"/>
        </w:rPr>
        <w:t>Иные требования и сведения общего характера</w:t>
      </w:r>
      <w:bookmarkEnd w:id="12"/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eastAsia="Times New Roman"/>
          <w:sz w:val="24"/>
          <w:szCs w:val="24"/>
          <w:shd w:fill="auto" w:val="clear"/>
          <w:lang w:eastAsia="ru-RU"/>
        </w:rPr>
        <w:t xml:space="preserve">1.5.1. Исполнитель обязан соблюдать внутренние регламенты, обязательные требования в области промышленной безопасности, охраны труда и охраны окружающей среды, пожарной безопасности и предупреждения чрезвычайных ситуаций при выполнении </w:t>
      </w:r>
      <w:r>
        <w:rPr>
          <w:rFonts w:eastAsia="Times New Roman"/>
          <w:sz w:val="24"/>
          <w:szCs w:val="24"/>
          <w:shd w:fill="auto" w:val="clear"/>
          <w:lang w:eastAsia="ru-RU"/>
        </w:rPr>
        <w:t>услуг</w:t>
      </w:r>
      <w:r>
        <w:rPr>
          <w:rFonts w:eastAsia="Times New Roman"/>
          <w:sz w:val="24"/>
          <w:szCs w:val="24"/>
          <w:shd w:fill="auto" w:val="clear"/>
          <w:lang w:eastAsia="ru-RU"/>
        </w:rPr>
        <w:t xml:space="preserve"> на территории Заказчика, правила действующего внутреннего распорядка, контрольно-пропускного режима, внутренних положений и инструкций, действующих на территории Заказчика.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eastAsia="Times New Roman"/>
          <w:sz w:val="24"/>
          <w:szCs w:val="24"/>
          <w:shd w:fill="auto" w:val="clear"/>
          <w:lang w:eastAsia="ru-RU"/>
        </w:rPr>
        <w:t>1.5.2. Исполнитель самостоятельно обеспечивает своих работников (специалистов) необходимыми инструментами, приборами, оборудованием, оснасткой, спецодеждой для работы на территории энергообъекта.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/>
      </w:pPr>
      <w:r>
        <w:rPr>
          <w:rFonts w:eastAsia="Times New Roman"/>
          <w:sz w:val="24"/>
          <w:szCs w:val="24"/>
          <w:shd w:fill="auto" w:val="clear"/>
          <w:lang w:eastAsia="ru-RU"/>
        </w:rPr>
        <w:t>1.5.3. Исполнитель должен иметь опыт проведения проектных  работ в области экологии.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709"/>
        <w:jc w:val="both"/>
        <w:rPr>
          <w:rFonts w:eastAsia="Times New Roman"/>
          <w:sz w:val="24"/>
          <w:szCs w:val="24"/>
          <w:shd w:fill="auto" w:val="clear"/>
          <w:lang w:eastAsia="ru-RU"/>
        </w:rPr>
      </w:pPr>
      <w:r>
        <w:rPr>
          <w:rFonts w:eastAsia="Times New Roman"/>
          <w:sz w:val="24"/>
          <w:szCs w:val="24"/>
          <w:shd w:fill="auto" w:val="clear"/>
          <w:lang w:eastAsia="ru-RU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6" w:name="_Toc54643702"/>
      <w:bookmarkStart w:id="17" w:name="_Toc51339693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6"/>
      <w:bookmarkEnd w:id="17"/>
    </w:p>
    <w:p>
      <w:pPr>
        <w:pStyle w:val="Heading4"/>
        <w:keepNext w:val="true"/>
        <w:widowControl/>
        <w:numPr>
          <w:ilvl w:val="1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keepNext w:val="true"/>
        <w:widowControl/>
        <w:numPr>
          <w:ilvl w:val="2"/>
          <w:numId w:val="3"/>
        </w:numPr>
        <w:suppressAutoHyphens w:val="true"/>
        <w:bidi w:val="0"/>
        <w:spacing w:before="0" w:after="0"/>
        <w:ind w:left="0" w:right="0" w:firstLine="709"/>
        <w:jc w:val="left"/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6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58"/>
        <w:gridCol w:w="7830"/>
        <w:gridCol w:w="1475"/>
      </w:tblGrid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Количество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Проведение работ на объекте Бурейская ГЭС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7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Проведение инвентаризации выбросов вредных (загрязняющих) веществ в атмосферный воздух и их источников по объекту Бурейская ГЭС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Проекта НДВ по объекту 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санитарно-эпидемиологического заключения о соответствии нормативов допустимых выбросов санитарным правилам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уменьшению выбросов в периоды НМУ по объекту 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3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 xml:space="preserve">Проведение работ на объекте </w:t>
            </w: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  <w:lang w:val="en-US"/>
              </w:rPr>
              <w:t>Нижне-Бурейская ГЭС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/>
            </w:pPr>
            <w:r>
              <w:rPr>
                <w:rStyle w:val="Style8"/>
                <w:b w:val="false"/>
                <w:bCs/>
                <w:i w:val="false"/>
                <w:iCs w:val="false"/>
                <w:sz w:val="24"/>
                <w:szCs w:val="24"/>
                <w:shd w:fill="auto" w:val="clear"/>
                <w:lang w:val="en-US"/>
              </w:rPr>
              <w:t>Проведение инвентаризации выбросов вредных (загрязняющих) веществ в атмосферный воздух и их источников по объекту Нижне-Бурейская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Подготовка Проекта НДВ по объекту Нижне-Бурейская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санитарно-эпидемиологического заключения о соответствии нормативов допустимых выбросов санитарным правилам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  <w:tr>
        <w:trPr>
          <w:trHeight w:val="592" w:hRule="atLeast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ind w:left="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78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плана мероприятий по уменьшению выбросов в периоды НМУ по объекту Нижне-Бурейская ГЭС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1</w:t>
            </w:r>
          </w:p>
        </w:tc>
      </w:tr>
    </w:tbl>
    <w:p>
      <w:pPr>
        <w:pStyle w:val="Heading3"/>
        <w:numPr>
          <w:ilvl w:val="0"/>
          <w:numId w:val="0"/>
        </w:numPr>
        <w:suppressAutoHyphens w:val="true"/>
        <w:bidi w:val="0"/>
        <w:ind w:left="0" w:right="0" w:hanging="0"/>
        <w:jc w:val="both"/>
        <w:rPr>
          <w:lang w:val="ru-RU"/>
        </w:rPr>
      </w:pPr>
      <w:r>
        <w:rPr>
          <w:lang w:val="ru-RU"/>
        </w:rPr>
      </w:r>
    </w:p>
    <w:p>
      <w:pPr>
        <w:pStyle w:val="Heading3"/>
        <w:numPr>
          <w:ilvl w:val="2"/>
          <w:numId w:val="3"/>
        </w:numPr>
        <w:suppressAutoHyphens w:val="true"/>
        <w:bidi w:val="0"/>
        <w:ind w:left="0" w:right="0" w:firstLine="709"/>
        <w:jc w:val="both"/>
        <w:rPr/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  <w:pStyle w:val="29"/>
        <w:keepLines/>
        <w:numPr>
          <w:ilvl w:val="0"/>
        </w:numPr>
        <w:shd w:val="clear" w:fill="auto"/>
        <w:tabs>
          <w:tab w:val="clear" w:pos="708"/>
          <w:tab w:val="left" w:pos="360" w:leader="none"/>
        </w:tabs>
        <w:suppressAutoHyphens w:val="true"/>
        <w:bidi w:val="0"/>
        <w:spacing w:lineRule="auto" w:line="240" w:before="0" w:after="0"/>
        <w:ind w:left="0" w:right="0" w:firstLine="709"/>
        <w:jc w:val="both"/>
        <w:rPr/>
      </w:pPr>
      <w:r>
        <w:rPr>
          <w:sz w:val="24"/>
          <w:szCs w:val="24"/>
          <w:lang w:val="ru-RU"/>
        </w:rPr>
        <w:t xml:space="preserve">Начало – </w:t>
      </w:r>
      <w:r>
        <w:rPr>
          <w:bCs/>
          <w:sz w:val="24"/>
          <w:szCs w:val="24"/>
          <w:lang w:val="ru-RU"/>
        </w:rPr>
        <w:t xml:space="preserve">с даты заключения договора, </w:t>
      </w:r>
      <w:r>
        <w:rPr>
          <w:sz w:val="24"/>
          <w:szCs w:val="24"/>
          <w:lang w:val="ru-RU"/>
        </w:rPr>
        <w:t>окончание оказания услуг – 01.12.2026 г.</w:t>
      </w:r>
    </w:p>
    <w:p>
      <w:pPr>
        <w:pStyle w:val="Heading4"/>
        <w:numPr>
          <w:ilvl w:val="1"/>
          <w:numId w:val="3"/>
        </w:numPr>
        <w:rPr/>
      </w:pPr>
      <w:bookmarkStart w:id="24" w:name="_Toc54643709"/>
      <w:bookmarkStart w:id="25" w:name="_Toc51339698"/>
      <w:bookmarkStart w:id="26" w:name="_Toc54643708"/>
      <w:bookmarkStart w:id="27" w:name="_Toc46743511"/>
      <w:r>
        <w:rPr/>
        <w:t xml:space="preserve">Требования к </w:t>
      </w:r>
      <w:bookmarkEnd w:id="27"/>
      <w:r>
        <w:rPr>
          <w:lang w:val="ru-RU"/>
        </w:rPr>
        <w:t xml:space="preserve">качеству </w:t>
      </w:r>
      <w:bookmarkEnd w:id="26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/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25"/>
      <w:r>
        <w:rPr>
          <w:sz w:val="24"/>
          <w:szCs w:val="24"/>
          <w:lang w:val="ru-RU"/>
        </w:rPr>
        <w:t xml:space="preserve">качеству </w:t>
      </w:r>
      <w:bookmarkEnd w:id="24"/>
      <w:r>
        <w:rPr>
          <w:sz w:val="24"/>
          <w:szCs w:val="24"/>
          <w:lang w:val="ru-RU"/>
        </w:rPr>
        <w:t>продукции</w:t>
      </w:r>
    </w:p>
    <w:tbl>
      <w:tblPr>
        <w:tblStyle w:val="af"/>
        <w:tblW w:w="1488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83"/>
        <w:gridCol w:w="3155"/>
        <w:gridCol w:w="10550"/>
      </w:tblGrid>
      <w:tr>
        <w:trPr/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0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8"/>
          </w:p>
        </w:tc>
        <w:tc>
          <w:tcPr>
            <w:tcW w:w="315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055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оказываемых услуг обозначен в Таблице 2. Точное количество источников выбросов и состав выбросов определяются по результатам проведенной в рамках заключаемого Договора инвентаризации.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качественного и количественного состава выбросов из выявленных в ходе проведения инвентаризации источников загрязнения атмосферного воздуха должно проводиться расчетным методом.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1.2.1.</w:t>
            </w:r>
          </w:p>
        </w:tc>
        <w:tc>
          <w:tcPr>
            <w:tcW w:w="3155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</w:t>
            </w:r>
          </w:p>
        </w:tc>
        <w:tc>
          <w:tcPr>
            <w:tcW w:w="1055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Возможность выезда специалистов на объект для сбора и обработки исходных данных. 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1.2.2.</w:t>
            </w:r>
          </w:p>
        </w:tc>
        <w:tc>
          <w:tcPr>
            <w:tcW w:w="3155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5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8"/>
              </w:rPr>
            </w:pPr>
            <w:r>
              <w:rPr>
                <w:rFonts w:eastAsia="Times New Roman"/>
                <w:sz w:val="24"/>
                <w:szCs w:val="28"/>
                <w:shd w:fill="auto" w:val="clear"/>
                <w:lang w:eastAsia="ru-RU"/>
              </w:rPr>
              <w:t>Перемещение между объектами Филиала осуществляется посредством транспорта Заказчика.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315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Допуск на объекты Филиала</w:t>
            </w:r>
          </w:p>
        </w:tc>
        <w:tc>
          <w:tcPr>
            <w:tcW w:w="1055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оказания услуг персоналом Исполнителя на объектах Филиала допуск персонала осуществляется в соответствии с  правилами действующего внутреннего распорядка, контрольно-пропускного режима, внутренних положений и инструкций.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оказываются в соответствии с действующим законодательством РФ и актуальными методическими указаниями, а также нормативно-правовыми актами, принятыми на дату формирования расчета нормативов допустимых выбросов загрязняющих веществ в атмосферный воздух, в числе которых: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от 10 января 2002 года № 7-ФЗ «Об охране окружающей среды»;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от 04.05.1999 № 96-ФЗ «Об охране атмосферного воздуха»;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Федеральный закон от 30.03.1999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постановление Правительства Российской Федерации от 09.12.2020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Минприроды России от 11.08.2020 № 581 «Об утверждении методики разработки (расчета) и установления нормативов допустимых выбросов загрязняющих веществ в атмосферный воздух»;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Минприроды России от 19.11.2021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перечень методик расчета выбросов, утвержденный распоряжением Минприроды России в актуальной редакции на момент проведения инвентаризации;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приказ Роспотребнадзора от 05.11.2020 № 747;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ГОСТ Р 58577-2019, утвержденный приказом Росстандарта от 08.10.2019 № 888-ст;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• </w:t>
            </w:r>
            <w:r>
              <w:rPr>
                <w:sz w:val="24"/>
                <w:szCs w:val="24"/>
              </w:rPr>
              <w:t>иные нормативно-правовые акты, необходимые для выполнения работ по настоящему договору, в том числе принятые в период проведения работ.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8"/>
              </w:rPr>
              <w:t>По результатам оказанных услуг Исполнитель представляет Заказчику: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Отчет по инвентаризации выбросов вредных (загрязняющих) веществ в атмосферный воздух и их источников по объекту 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Отчет по инвентаризации выбросов вредных (загрязняющих) веществ в атмосферный воздух и их источников по объекту Нижне-Бурейская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Проект НДВ по объекту 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Проект НДВ по объекту Нижне-Бурейская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Санитарно-эпидемиологическое заключение о соответствии нормативов допустимых выбросов санитарным правилам;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План мероприятий по уменьшению выбросов в периоды НМУ по объекту 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План мероприятий по уменьшению выбросов в периоды НМУ по объекту Нижне-Бурейская ГЭС;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акт выполненных работ;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счет – фактуру;</w:t>
            </w:r>
          </w:p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- счет.</w:t>
            </w:r>
            <w:r>
              <w:rPr>
                <w:sz w:val="24"/>
                <w:szCs w:val="28"/>
              </w:rPr>
              <w:t xml:space="preserve">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1370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</w:tr>
      <w:tr>
        <w:trPr/>
        <w:tc>
          <w:tcPr>
            <w:tcW w:w="1183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2.2.1.</w:t>
            </w:r>
          </w:p>
        </w:tc>
        <w:tc>
          <w:tcPr>
            <w:tcW w:w="13705" w:type="dxa"/>
            <w:gridSpan w:val="2"/>
            <w:tcBorders/>
          </w:tcPr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Документы передаются в двух экземплярах на бумажном носителе (каждого документа) и по одному экземпляру электронной версии в форматах PDF и word. (каждого документа).</w:t>
            </w:r>
          </w:p>
        </w:tc>
      </w:tr>
      <w:tr>
        <w:trPr/>
        <w:tc>
          <w:tcPr>
            <w:tcW w:w="1183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2.2.2.</w:t>
            </w:r>
          </w:p>
        </w:tc>
        <w:tc>
          <w:tcPr>
            <w:tcW w:w="13705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Прием-передача оказанных услуг осуществляется подписанием двухстороннего акта о приемке оказанных услуг.</w:t>
            </w:r>
          </w:p>
        </w:tc>
      </w:tr>
    </w:tbl>
    <w:p>
      <w:pPr>
        <w:pStyle w:val="Normal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  <w:t xml:space="preserve"> 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Wingdings">
    <w:charset w:val="01"/>
    <w:family w:val="roman"/>
    <w:pitch w:val="variable"/>
  </w:font>
  <w:font w:name="Courier New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LineNumber">
    <w:name w:val="Line Number"/>
    <w:rPr/>
  </w:style>
  <w:style w:type="character" w:styleId="WW8Num29z0">
    <w:name w:val="WW8Num29z0"/>
    <w:qFormat/>
    <w:rPr>
      <w:rFonts w:ascii="Wingdings" w:hAnsi="Wingdings" w:cs="Wingdings"/>
    </w:rPr>
  </w:style>
  <w:style w:type="character" w:styleId="WW8Num29z1">
    <w:name w:val="WW8Num29z1"/>
    <w:qFormat/>
    <w:rPr>
      <w:rFonts w:ascii="Courier New" w:hAnsi="Courier New" w:cs="Courier New"/>
    </w:rPr>
  </w:style>
  <w:style w:type="character" w:styleId="WW8Num29z3">
    <w:name w:val="WW8Num29z3"/>
    <w:qFormat/>
    <w:rPr>
      <w:rFonts w:ascii="Symbol" w:hAnsi="Symbol" w:cs="Symbol"/>
    </w:rPr>
  </w:style>
  <w:style w:type="character" w:styleId="WW8Num16z0">
    <w:name w:val="WW8Num16z0"/>
    <w:qFormat/>
    <w:rPr>
      <w:strike w:val="false"/>
      <w:dstrike w:val="false"/>
      <w:u w:val="none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2">
    <w:name w:val="WW8Num28z2"/>
    <w:qFormat/>
    <w:rPr>
      <w:rFonts w:ascii="Wingdings" w:hAnsi="Wingdings" w:cs="Wingdings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9z0">
    <w:name w:val="WW8Num19z0"/>
    <w:qFormat/>
    <w:rPr>
      <w:u w:val="none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4z1">
    <w:name w:val="WW8Num24z1"/>
    <w:qFormat/>
    <w:rPr>
      <w:rFonts w:ascii="Courier New" w:hAnsi="Courier New" w:cs="Courier New"/>
    </w:rPr>
  </w:style>
  <w:style w:type="character" w:styleId="WW8Num24z2">
    <w:name w:val="WW8Num24z2"/>
    <w:qFormat/>
    <w:rPr>
      <w:rFonts w:ascii="Wingdings" w:hAnsi="Wingdings" w:cs="Wingdings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paragraph" w:styleId="29">
    <w:name w:val="Основной текст (2)"/>
    <w:basedOn w:val="Normal"/>
    <w:qFormat/>
    <w:pPr>
      <w:widowControl w:val="false"/>
      <w:shd w:val="clear" w:fill="FFFFFF"/>
      <w:spacing w:lineRule="exact" w:line="274" w:before="0" w:after="240"/>
    </w:pPr>
    <w:rPr>
      <w:rFonts w:eastAsia="Times New Roman"/>
      <w:sz w:val="22"/>
    </w:rPr>
  </w:style>
  <w:style w:type="paragraph" w:styleId="Style36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29">
    <w:name w:val="WW8Num29"/>
    <w:qFormat/>
  </w:style>
  <w:style w:type="numbering" w:styleId="WW8Num16">
    <w:name w:val="WW8Num16"/>
    <w:qFormat/>
  </w:style>
  <w:style w:type="numbering" w:styleId="WW8Num28">
    <w:name w:val="WW8Num28"/>
    <w:qFormat/>
  </w:style>
  <w:style w:type="numbering" w:styleId="WW8Num14">
    <w:name w:val="WW8Num14"/>
    <w:qFormat/>
  </w:style>
  <w:style w:type="numbering" w:styleId="WW8Num19">
    <w:name w:val="WW8Num19"/>
    <w:qFormat/>
  </w:style>
  <w:style w:type="numbering" w:styleId="WW8Num21">
    <w:name w:val="WW8Num21"/>
    <w:qFormat/>
  </w:style>
  <w:style w:type="numbering" w:styleId="WW8Num24">
    <w:name w:val="WW8Num24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E6183A76AE1B9479D13E692560BA3A1" ma:contentTypeVersion="1" ma:contentTypeDescription="Создание документа." ma:contentTypeScope="" ma:versionID="fe9656d68f00400e483b82b86049f42a">
  <xsd:schema xmlns:xsd="http://www.w3.org/2001/XMLSchema" xmlns:xs="http://www.w3.org/2001/XMLSchema" xmlns:p="http://schemas.microsoft.com/office/2006/metadata/properties" xmlns:ns2="e20b8c0d-372d-4424-b649-01a7cb84bca0" targetNamespace="http://schemas.microsoft.com/office/2006/metadata/properties" ma:root="true" ma:fieldsID="6ef416ee02a1e34638b763bf9babf4c8" ns2:_="">
    <xsd:import namespace="e20b8c0d-372d-4424-b649-01a7cb84bca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b8c0d-372d-4424-b649-01a7cb84bc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D964E-2ACE-4132-B9BC-50F0488BE673}"/>
</file>

<file path=customXml/itemProps2.xml><?xml version="1.0" encoding="utf-8"?>
<ds:datastoreItem xmlns:ds="http://schemas.openxmlformats.org/officeDocument/2006/customXml" ds:itemID="{98B64B3C-B2F1-4D88-8103-EDD32C9E4D46}"/>
</file>

<file path=customXml/itemProps3.xml><?xml version="1.0" encoding="utf-8"?>
<ds:datastoreItem xmlns:ds="http://schemas.openxmlformats.org/officeDocument/2006/customXml" ds:itemID="{43146AF0-2437-445A-8FF4-A567B1F124A9}"/>
</file>

<file path=customXml/itemProps4.xml><?xml version="1.0" encoding="utf-8"?>
<ds:datastoreItem xmlns:ds="http://schemas.openxmlformats.org/officeDocument/2006/customXml" ds:itemID="{58EFA412-3A3F-4E59-9791-F3A5648292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9778</TotalTime>
  <Application>AlterOffice/2025.3.1.0$Linux_X86_64 LibreOffice_project/431cd1b79110582f53535c95ed0a2449aadc8bf9</Application>
  <AppVersion>15.0000</AppVersion>
  <Pages>7</Pages>
  <Words>1316</Words>
  <Characters>8987</Characters>
  <CharactersWithSpaces>10228</CharactersWithSpaces>
  <Paragraphs>184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golovachevamvi@corp.gidroogk.com</cp:lastModifiedBy>
  <cp:lastPrinted>2006-07-26T14:04:00Z</cp:lastPrinted>
  <dcterms:modified xsi:type="dcterms:W3CDTF">2026-06-11T09:46:29Z</dcterms:modified>
  <cp:revision>76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0x0101002E6183A76AE1B9479D13E692560BA3A1</vt:lpwstr>
  </property>
</Properties>
</file>