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jc w:val="center"/>
        <w:rPr>
          <w:highlight w:val="white"/>
        </w:rPr>
      </w:pPr>
      <w:r>
        <w:rPr>
          <w:highlight w:val="white"/>
        </w:rPr>
      </w:r>
    </w:p>
    <w:p>
      <w:pPr>
        <w:sectPr>
          <w:headerReference w:type="default" r:id="rId2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Normal"/>
        <w:spacing w:lineRule="auto" w:line="240"/>
        <w:ind w:left="0" w:right="0" w:firstLine="708"/>
        <w:jc w:val="center"/>
        <w:rPr/>
      </w:pPr>
      <w:r>
        <w:rPr>
          <w:rFonts w:eastAsia="Times New Roman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highlight w:val="white"/>
          <w:u w:val="none"/>
          <w:em w:val="none"/>
          <w:lang w:val="ru-RU" w:eastAsia="ru-RU" w:bidi="ar-SA"/>
        </w:rPr>
        <w:t xml:space="preserve">ОКПД2  71.12.35.110 Выполнение кадастровых работ для целей получения муниципальной услуги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highlight w:val="white"/>
          <w:u w:val="none"/>
          <w:em w:val="none"/>
          <w:lang w:val="ru-RU" w:eastAsia="ru-RU" w:bidi="ar-SA"/>
        </w:rPr>
        <w:t>«Внесение изменений в разрешение на ввод объекта в эксплуатацию», касающейся строительства объекта: закрытая ПС 110/35/6 кВ «Орлиная» с заходами линии электропередачи 110-35 кВ</w:t>
      </w:r>
      <w:r>
        <w:rPr>
          <w:rFonts w:eastAsia="Times New Roman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highlight w:val="white"/>
          <w:u w:val="none"/>
          <w:em w:val="none"/>
          <w:lang w:val="ru-RU" w:eastAsia="ru-RU" w:bidi="ar-SA"/>
        </w:rPr>
        <w:t>, расположенного на территории Приморского края</w:t>
      </w:r>
    </w:p>
    <w:p>
      <w:pPr>
        <w:pStyle w:val="NormalWeb"/>
        <w:spacing w:before="0" w:after="0"/>
        <w:ind w:left="0" w:right="0" w:firstLine="49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/>
        </w:rPr>
        <w:t>СОДЕРЖАНИЕ</w:t>
      </w:r>
    </w:p>
    <w:p>
      <w:pPr>
        <w:pStyle w:val="17"/>
        <w:tabs>
          <w:tab w:val="left" w:pos="560" w:leader="none"/>
          <w:tab w:val="right" w:pos="9911" w:leader="dot"/>
        </w:tabs>
        <w:rPr/>
      </w:pPr>
      <w:r>
        <w:fldChar w:fldCharType="begin"/>
      </w:r>
      <w:r>
        <w:instrText> TOC \o "1-4" \h</w:instrText>
      </w:r>
      <w:r>
        <w:fldChar w:fldCharType="separate"/>
      </w:r>
      <w:hyperlink w:anchor="_Toc137820507">
        <w:r>
          <w:rPr>
            <w:rStyle w:val="Style24"/>
          </w:rPr>
          <w:t>1.</w:t>
        </w:r>
      </w:hyperlink>
      <w:hyperlink w:anchor="_Toc137820507">
        <w:r>
          <w:rPr>
            <w:webHidden/>
          </w:rPr>
          <w:fldChar w:fldCharType="begin"/>
        </w:r>
        <w:r>
          <w:rPr>
            <w:webHidden/>
          </w:rPr>
          <w:instrText>PAGEREF _Toc137820507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7">
        <w:r>
          <w:rPr>
            <w:webHidden/>
          </w:rPr>
          <w:fldChar w:fldCharType="begin"/>
        </w:r>
        <w:r>
          <w:rPr>
            <w:webHidden/>
          </w:rPr>
          <w:instrText>PAGEREF _Toc137820507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Общие сведения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08">
        <w:r>
          <w:rPr>
            <w:rStyle w:val="Style24"/>
            <w:iCs/>
          </w:rPr>
          <w:t>1.1.</w:t>
        </w:r>
      </w:hyperlink>
      <w:hyperlink w:anchor="_Toc137820508">
        <w:r>
          <w:rPr>
            <w:webHidden/>
          </w:rPr>
          <w:fldChar w:fldCharType="begin"/>
        </w:r>
        <w:r>
          <w:rPr>
            <w:webHidden/>
          </w:rPr>
          <w:instrText>PAGEREF _Toc137820508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8">
        <w:r>
          <w:rPr>
            <w:webHidden/>
          </w:rPr>
          <w:fldChar w:fldCharType="begin"/>
        </w:r>
        <w:r>
          <w:rPr>
            <w:webHidden/>
          </w:rPr>
          <w:instrText>PAGEREF _Toc137820508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Наименование закупаемой продукции.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09">
        <w:r>
          <w:rPr>
            <w:rStyle w:val="Style24"/>
            <w:iCs/>
          </w:rPr>
          <w:t>1.2.</w:t>
        </w:r>
      </w:hyperlink>
      <w:hyperlink w:anchor="_Toc137820509">
        <w:r>
          <w:rPr>
            <w:webHidden/>
          </w:rPr>
          <w:fldChar w:fldCharType="begin"/>
        </w:r>
        <w:r>
          <w:rPr>
            <w:webHidden/>
          </w:rPr>
          <w:instrText>PAGEREF _Toc137820509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9">
        <w:r>
          <w:rPr>
            <w:webHidden/>
          </w:rPr>
          <w:fldChar w:fldCharType="begin"/>
        </w:r>
        <w:r>
          <w:rPr>
            <w:webHidden/>
          </w:rPr>
          <w:instrText>PAGEREF _Toc137820509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Цель выполнения работ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1">
        <w:r>
          <w:rPr>
            <w:webHidden/>
          </w:rPr>
          <w:fldChar w:fldCharType="begin"/>
        </w:r>
        <w:r>
          <w:rPr>
            <w:webHidden/>
          </w:rPr>
          <w:instrText>PAGEREF _Toc137820511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1. Перечень объектов заказчика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2">
        <w:r>
          <w:rPr>
            <w:rStyle w:val="Style24"/>
            <w:iCs/>
          </w:rPr>
          <w:t>1.3.</w:t>
        </w:r>
      </w:hyperlink>
      <w:hyperlink w:anchor="_Toc137820512">
        <w:r>
          <w:rPr>
            <w:webHidden/>
          </w:rPr>
          <w:fldChar w:fldCharType="begin"/>
        </w:r>
        <w:r>
          <w:rPr>
            <w:webHidden/>
          </w:rPr>
          <w:instrText>PAGEREF _Toc137820512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2">
        <w:r>
          <w:rPr>
            <w:webHidden/>
          </w:rPr>
          <w:fldChar w:fldCharType="begin"/>
        </w:r>
        <w:r>
          <w:rPr>
            <w:webHidden/>
          </w:rPr>
          <w:instrText>PAGEREF _Toc137820512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13">
        <w:r>
          <w:rPr>
            <w:rStyle w:val="Style24"/>
          </w:rPr>
          <w:t>2.</w:t>
        </w:r>
      </w:hyperlink>
      <w:hyperlink w:anchor="_Toc137820513">
        <w:r>
          <w:rPr>
            <w:webHidden/>
          </w:rPr>
          <w:fldChar w:fldCharType="begin"/>
        </w:r>
        <w:r>
          <w:rPr>
            <w:webHidden/>
          </w:rPr>
          <w:instrText>PAGEREF _Toc137820513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3">
        <w:r>
          <w:rPr>
            <w:webHidden/>
          </w:rPr>
          <w:fldChar w:fldCharType="begin"/>
        </w:r>
        <w:r>
          <w:rPr>
            <w:webHidden/>
          </w:rPr>
          <w:instrText>PAGEREF _Toc137820513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продукции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4">
        <w:r>
          <w:rPr>
            <w:rStyle w:val="Style24"/>
            <w:iCs/>
          </w:rPr>
          <w:t>2.1.</w:t>
        </w:r>
      </w:hyperlink>
      <w:hyperlink w:anchor="_Toc137820514">
        <w:r>
          <w:rPr>
            <w:webHidden/>
          </w:rPr>
          <w:fldChar w:fldCharType="begin"/>
        </w:r>
        <w:r>
          <w:rPr>
            <w:webHidden/>
          </w:rPr>
          <w:instrText>PAGEREF _Toc137820514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4">
        <w:r>
          <w:rPr>
            <w:webHidden/>
          </w:rPr>
          <w:fldChar w:fldCharType="begin"/>
        </w:r>
        <w:r>
          <w:rPr>
            <w:webHidden/>
          </w:rPr>
          <w:instrText>PAGEREF _Toc137820514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объемам и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35"/>
        <w:tabs>
          <w:tab w:val="left" w:pos="1120" w:leader="none"/>
          <w:tab w:val="right" w:pos="9911" w:leader="dot"/>
        </w:tabs>
        <w:rPr/>
      </w:pPr>
      <w:hyperlink w:anchor="_Toc137820515">
        <w:r>
          <w:rPr>
            <w:rStyle w:val="Style24"/>
          </w:rPr>
          <w:t>2.1.1.</w:t>
        </w:r>
      </w:hyperlink>
      <w:hyperlink w:anchor="_Toc137820515">
        <w:r>
          <w:rPr>
            <w:webHidden/>
          </w:rPr>
          <w:fldChar w:fldCharType="begin"/>
        </w:r>
        <w:r>
          <w:rPr>
            <w:webHidden/>
          </w:rPr>
          <w:instrText>PAGEREF _Toc137820515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5">
        <w:r>
          <w:rPr>
            <w:webHidden/>
          </w:rPr>
          <w:fldChar w:fldCharType="begin"/>
        </w:r>
        <w:r>
          <w:rPr>
            <w:webHidden/>
          </w:rPr>
          <w:instrText>PAGEREF _Toc137820515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видам и объемам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6">
        <w:r>
          <w:rPr>
            <w:webHidden/>
          </w:rPr>
          <w:fldChar w:fldCharType="begin"/>
        </w:r>
        <w:r>
          <w:rPr>
            <w:webHidden/>
          </w:rPr>
          <w:instrText>PAGEREF _Toc137820516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2. Перечень и объем выполняемых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35"/>
        <w:tabs>
          <w:tab w:val="left" w:pos="1120" w:leader="none"/>
          <w:tab w:val="right" w:pos="9911" w:leader="dot"/>
        </w:tabs>
        <w:rPr/>
      </w:pPr>
      <w:hyperlink w:anchor="_Toc137820517">
        <w:r>
          <w:rPr>
            <w:rStyle w:val="Style24"/>
          </w:rPr>
          <w:t>2.1.2.</w:t>
        </w:r>
      </w:hyperlink>
      <w:hyperlink w:anchor="_Toc137820517">
        <w:r>
          <w:rPr>
            <w:webHidden/>
          </w:rPr>
          <w:fldChar w:fldCharType="begin"/>
        </w:r>
        <w:r>
          <w:rPr>
            <w:webHidden/>
          </w:rPr>
          <w:instrText>PAGEREF _Toc137820517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7">
        <w:r>
          <w:rPr>
            <w:webHidden/>
          </w:rPr>
          <w:fldChar w:fldCharType="begin"/>
        </w:r>
        <w:r>
          <w:rPr>
            <w:webHidden/>
          </w:rPr>
          <w:instrText>PAGEREF _Toc137820517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8">
        <w:r>
          <w:rPr>
            <w:webHidden/>
          </w:rPr>
          <w:fldChar w:fldCharType="begin"/>
        </w:r>
        <w:r>
          <w:rPr>
            <w:webHidden/>
          </w:rPr>
          <w:instrText>PAGEREF _Toc137820518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3. Требования по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9">
        <w:r>
          <w:rPr>
            <w:rStyle w:val="Style24"/>
            <w:iCs/>
          </w:rPr>
          <w:t>2.2.</w:t>
        </w:r>
      </w:hyperlink>
      <w:hyperlink w:anchor="_Toc137820519">
        <w:r>
          <w:rPr>
            <w:webHidden/>
          </w:rPr>
          <w:fldChar w:fldCharType="begin"/>
        </w:r>
        <w:r>
          <w:rPr>
            <w:webHidden/>
          </w:rPr>
          <w:instrText>PAGEREF _Toc137820519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9">
        <w:r>
          <w:rPr>
            <w:webHidden/>
          </w:rPr>
          <w:fldChar w:fldCharType="begin"/>
        </w:r>
        <w:r>
          <w:rPr>
            <w:webHidden/>
          </w:rPr>
          <w:instrText>PAGEREF _Toc137820519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качеству работ</w:t>
          <w:tab/>
          <w:t>8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20">
        <w:r>
          <w:rPr>
            <w:webHidden/>
          </w:rPr>
          <w:fldChar w:fldCharType="begin"/>
        </w:r>
        <w:r>
          <w:rPr>
            <w:webHidden/>
          </w:rPr>
          <w:instrText>PAGEREF _Toc137820520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4. Требования к качеству работ</w:t>
          <w:tab/>
          <w:t>8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21">
        <w:r>
          <w:rPr>
            <w:rStyle w:val="Style24"/>
          </w:rPr>
          <w:t>3.</w:t>
        </w:r>
      </w:hyperlink>
      <w:hyperlink w:anchor="_Toc137820521">
        <w:r>
          <w:rPr>
            <w:webHidden/>
          </w:rPr>
          <w:fldChar w:fldCharType="begin"/>
        </w:r>
        <w:r>
          <w:rPr>
            <w:webHidden/>
          </w:rPr>
          <w:instrText>PAGEREF _Toc137820521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21">
        <w:r>
          <w:rPr>
            <w:webHidden/>
          </w:rPr>
          <w:fldChar w:fldCharType="begin"/>
        </w:r>
        <w:r>
          <w:rPr>
            <w:webHidden/>
          </w:rPr>
          <w:instrText>PAGEREF _Toc137820521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документации по ценообразованию на этапе закупки</w:t>
          <w:tab/>
          <w:t>13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22">
        <w:r>
          <w:rPr>
            <w:rStyle w:val="Style24"/>
          </w:rPr>
          <w:t>4.</w:t>
        </w:r>
      </w:hyperlink>
      <w:hyperlink w:anchor="_Toc137820522">
        <w:r>
          <w:rPr>
            <w:webHidden/>
          </w:rPr>
          <w:fldChar w:fldCharType="begin"/>
        </w:r>
        <w:r>
          <w:rPr>
            <w:webHidden/>
          </w:rPr>
          <w:instrText>PAGEREF _Toc137820522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22">
        <w:r>
          <w:rPr>
            <w:webHidden/>
          </w:rPr>
          <w:fldChar w:fldCharType="begin"/>
        </w:r>
        <w:r>
          <w:rPr>
            <w:webHidden/>
          </w:rPr>
          <w:instrText>PAGEREF _Toc137820522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Приложения</w:t>
          <w:tab/>
          <w:t>13</w:t>
        </w:r>
        <w:r>
          <w:rPr>
            <w:webHidden/>
          </w:rPr>
          <w:fldChar w:fldCharType="end"/>
        </w:r>
      </w:hyperlink>
      <w:r>
        <w:fldChar w:fldCharType="end"/>
      </w:r>
    </w:p>
    <w:p>
      <w:pPr>
        <w:pStyle w:val="Normal"/>
        <w:overflowPunct w:val="false"/>
        <w:rPr/>
      </w:pPr>
      <w:r>
        <w:rPr/>
      </w:r>
    </w:p>
    <w:p>
      <w:pPr>
        <w:pStyle w:val="4"/>
        <w:numPr>
          <w:ilvl w:val="0"/>
          <w:numId w:val="0"/>
        </w:numPr>
        <w:ind w:left="0" w:right="0" w:hanging="0"/>
        <w:rPr/>
      </w:pPr>
      <w:r>
        <w:rPr/>
        <w:t>Общие сведения</w:t>
      </w:r>
    </w:p>
    <w:p>
      <w:pPr>
        <w:pStyle w:val="4"/>
        <w:numPr>
          <w:ilvl w:val="1"/>
          <w:numId w:val="2"/>
        </w:numPr>
        <w:ind w:left="432" w:right="0" w:hanging="432"/>
        <w:rPr/>
      </w:pPr>
      <w:bookmarkStart w:id="0" w:name="_Toc137820508"/>
      <w:bookmarkStart w:id="1" w:name="_Toc46743506"/>
      <w:r>
        <w:rPr/>
        <w:t>Наименование закупаемой продукции</w:t>
      </w:r>
      <w:bookmarkEnd w:id="0"/>
      <w:bookmarkEnd w:id="1"/>
      <w:r>
        <w:rPr>
          <w:lang w:val="ru-RU"/>
        </w:rPr>
        <w:t>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em w:val="none"/>
          <w:lang w:val="ru-RU" w:eastAsia="ru-RU" w:bidi="ar-SA"/>
        </w:rPr>
        <w:t>Выполнение кадастровых работ для целей для целей получения муниципальной услуги «Внесение изменений в разрешение на ввод объекта в эксплуатацию», касающейся строительства объекта: закрытая ПС 110/35/6 кВ «Орлиная» с заходами линии электропередачи 110-35 кВ, расположенного на территории Приморского края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6"/>
          <w:szCs w:val="26"/>
          <w:u w:val="none"/>
          <w:em w:val="none"/>
          <w:lang w:val="ru-RU" w:eastAsia="ru-RU" w:bidi="ar-SA"/>
        </w:rPr>
        <w:t>.</w:t>
      </w:r>
    </w:p>
    <w:p>
      <w:pPr>
        <w:pStyle w:val="Normal"/>
        <w:spacing w:lineRule="auto" w:line="240"/>
        <w:ind w:left="0" w:right="0" w:hanging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4"/>
        <w:numPr>
          <w:ilvl w:val="1"/>
          <w:numId w:val="2"/>
        </w:numPr>
        <w:ind w:left="432" w:right="0" w:hanging="432"/>
        <w:rPr/>
      </w:pPr>
      <w:bookmarkStart w:id="2" w:name="_Toc46743507"/>
      <w:bookmarkStart w:id="3" w:name="_Toc137820509"/>
      <w:r>
        <w:rPr/>
        <w:t xml:space="preserve">Цель </w:t>
      </w:r>
      <w:bookmarkEnd w:id="2"/>
      <w:bookmarkEnd w:id="3"/>
      <w:r>
        <w:rPr/>
        <w:t>выполнения работ</w:t>
      </w:r>
    </w:p>
    <w:p>
      <w:pPr>
        <w:pStyle w:val="4"/>
        <w:numPr>
          <w:ilvl w:val="0"/>
          <w:numId w:val="0"/>
        </w:numPr>
        <w:ind w:left="0" w:right="0" w:hanging="0"/>
        <w:jc w:val="both"/>
        <w:rPr/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 xml:space="preserve">- получение муниципальной услуги «Внесение изменений в разрешение на ввод объекта в эксплуатацию», касающейся строительства объекта: закрытая ПС 110/35/6 кВ «Орлиная» с заходами линии электропередачи 110-35 кВ (разрешение на ввод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ru-RU"/>
        </w:rPr>
        <w:t xml:space="preserve">от 13.08.2021 № </w:t>
      </w: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RU25304000-57-2021).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постановка объектов капитального строительства (далее - ОКС) на кадастровый учет/ определение местоположения границ объектов недвижимости;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</w:r>
    </w:p>
    <w:p>
      <w:pPr>
        <w:pStyle w:val="Normal"/>
        <w:ind w:left="624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bookmarkStart w:id="4" w:name="_Toc137820511"/>
      <w:bookmarkEnd w:id="4"/>
      <w:r>
        <w:rPr>
          <w:sz w:val="24"/>
          <w:szCs w:val="24"/>
        </w:rPr>
        <w:t>Таблица 1. Перечень объектов заказчика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70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821"/>
        <w:gridCol w:w="1821"/>
        <w:gridCol w:w="1821"/>
        <w:gridCol w:w="1824"/>
        <w:gridCol w:w="1822"/>
        <w:gridCol w:w="5460"/>
      </w:tblGrid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Инвентарный номер объекта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Протяженность, км/ площадь, кв. м</w:t>
            </w:r>
          </w:p>
        </w:tc>
        <w:tc>
          <w:tcPr>
            <w:tcW w:w="5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Виды работ по объекту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PR0027094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ПС 110 кВ Орлиная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(корректировка технического плана с учетом параметров объектов, указанных в разрешении на ввод в эксплуатацию от 13.08.2021 № RU25304000-57-2021)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PR0027101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Воздушный заход ВЛ-35 кВ на ПС 110/35/6  кВ "Орлиная"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  <w:em w:val="none"/>
              </w:rPr>
              <w:t>-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</w:t>
            </w:r>
          </w:p>
        </w:tc>
        <w:tc>
          <w:tcPr>
            <w:tcW w:w="5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(корректировка технического плана с учетом параметров объектов, указанных в разрешении на ввод в эксплуатацию от 13.08.2021 № RU25304000-57-2021)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>PR0027104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Воздушный заход ВЛ-110 кВ на ПС 110/35/6  кВ "Орлиная"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  <w:em w:val="none"/>
              </w:rPr>
              <w:t>-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</w:t>
            </w:r>
          </w:p>
        </w:tc>
        <w:tc>
          <w:tcPr>
            <w:tcW w:w="5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(корректировка технического плана с учетом параметров объектов, указанных в разрешении на ввод в эксплуатацию от 13.08.2021 № RU25304000-57-2021)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left="0" w:right="0" w:firstLine="57"/>
              <w:jc w:val="both"/>
              <w:rPr>
                <w:b w:val="false"/>
                <w:b w:val="false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</w:rPr>
              <w:t xml:space="preserve">подпорная стена 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  <w:highlight w:val="white"/>
              </w:rPr>
              <w:t>протяженностью 126,8 м</w:t>
            </w:r>
          </w:p>
        </w:tc>
        <w:tc>
          <w:tcPr>
            <w:tcW w:w="5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bookmarkStart w:id="5" w:name="__DdeLink__15248_2454440630"/>
            <w:bookmarkEnd w:id="5"/>
            <w:r>
              <w:rPr>
                <w:rFonts w:ascii="Liberation Serif" w:hAnsi="Liberation Serif"/>
                <w:sz w:val="24"/>
                <w:szCs w:val="24"/>
              </w:rPr>
              <w:t>подготовка технического плана с учетом параметров объектов, указанных в разрешении на ввод в эксплуатацию от 13.08.2021 № RU25304000-57-2021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left="0" w:right="0" w:firstLine="57"/>
              <w:jc w:val="both"/>
              <w:rPr>
                <w:b w:val="false"/>
                <w:b w:val="false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left="0" w:right="0" w:firstLine="57"/>
              <w:jc w:val="center"/>
              <w:rPr>
                <w:b w:val="false"/>
                <w:b w:val="false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  <w:highlight w:val="white"/>
              </w:rPr>
              <w:t>975,3 кв. м.</w:t>
            </w:r>
          </w:p>
        </w:tc>
        <w:tc>
          <w:tcPr>
            <w:tcW w:w="5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технического плана с учетом параметров объектов, указанных в разрешении на ввод в эксплуатацию от 13.08.2021 № RU25304000-57-2021</w:t>
            </w:r>
          </w:p>
        </w:tc>
      </w:tr>
    </w:tbl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r>
        <w:rPr/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3"/>
          <w:type w:val="nextPage"/>
          <w:pgSz w:orient="landscape" w:w="16838" w:h="11906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numPr>
          <w:ilvl w:val="1"/>
          <w:numId w:val="2"/>
        </w:numPr>
        <w:spacing w:before="240" w:after="0"/>
        <w:ind w:left="0" w:right="0" w:hanging="0"/>
        <w:jc w:val="both"/>
        <w:rPr/>
      </w:pPr>
      <w:bookmarkStart w:id="6" w:name="_Toc46743509"/>
      <w:bookmarkStart w:id="7" w:name="_Hlk49857604"/>
      <w:bookmarkStart w:id="8" w:name="_Toc137820512"/>
      <w:r>
        <w:rPr/>
        <w:t xml:space="preserve">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</w:t>
      </w:r>
      <w:r>
        <w:rPr>
          <w:lang w:val="ru-RU"/>
        </w:rPr>
        <w:t xml:space="preserve"> </w:t>
      </w:r>
      <w:bookmarkEnd w:id="6"/>
      <w:bookmarkEnd w:id="7"/>
      <w:bookmarkEnd w:id="8"/>
      <w:r>
        <w:rPr/>
        <w:t>этапе исполнения договора)</w:t>
      </w:r>
    </w:p>
    <w:p>
      <w:pPr>
        <w:pStyle w:val="Normal"/>
        <w:widowControl w:val="false"/>
        <w:tabs>
          <w:tab w:val="left" w:pos="426" w:leader="none"/>
        </w:tabs>
        <w:jc w:val="both"/>
        <w:rPr>
          <w:color w:val="000000"/>
          <w:sz w:val="24"/>
          <w:szCs w:val="24"/>
        </w:rPr>
      </w:pPr>
      <w:bookmarkStart w:id="10" w:name="_Hlk48209761"/>
      <w:bookmarkEnd w:id="10"/>
      <w:r>
        <w:rPr>
          <w:color w:val="000000"/>
          <w:sz w:val="24"/>
          <w:szCs w:val="24"/>
        </w:rPr>
        <w:t>Заказчик предоставляет Исполнителю копии имеющихся технических и правоустанавливающих документов на электросетевые объекты, определяет сотрудника, ответственного за предоставление информации.</w:t>
      </w:r>
    </w:p>
    <w:p>
      <w:pPr>
        <w:pStyle w:val="Normal"/>
        <w:tabs>
          <w:tab w:val="left" w:pos="1821" w:leader="none"/>
        </w:tabs>
        <w:jc w:val="both"/>
        <w:rPr>
          <w:lang w:val="x-none" w:eastAsia="x-none"/>
        </w:rPr>
      </w:pPr>
      <w:bookmarkStart w:id="11" w:name="_Hlk482097611"/>
      <w:bookmarkStart w:id="12" w:name="_Toc50125126"/>
      <w:bookmarkStart w:id="13" w:name="_Hlk482097611"/>
      <w:bookmarkStart w:id="14" w:name="_Toc50125126"/>
      <w:bookmarkEnd w:id="13"/>
      <w:bookmarkEnd w:id="14"/>
      <w:r>
        <w:rPr>
          <w:lang w:val="x-none" w:eastAsia="x-none"/>
        </w:rPr>
      </w:r>
    </w:p>
    <w:p>
      <w:pPr>
        <w:pStyle w:val="1"/>
        <w:numPr>
          <w:ilvl w:val="0"/>
          <w:numId w:val="2"/>
        </w:numPr>
        <w:tabs>
          <w:tab w:val="left" w:pos="284" w:leader="none"/>
        </w:tabs>
        <w:ind w:left="0" w:right="0" w:hanging="0"/>
        <w:jc w:val="both"/>
        <w:rPr/>
      </w:pPr>
      <w:bookmarkStart w:id="15" w:name="_Toc137820513"/>
      <w:bookmarkStart w:id="16" w:name="_Toc51339693"/>
      <w:bookmarkEnd w:id="15"/>
      <w:bookmarkEnd w:id="16"/>
      <w:r>
        <w:rPr/>
        <w:t>Требования к продукции</w:t>
      </w:r>
    </w:p>
    <w:p>
      <w:pPr>
        <w:pStyle w:val="4"/>
        <w:numPr>
          <w:ilvl w:val="1"/>
          <w:numId w:val="2"/>
        </w:numPr>
        <w:ind w:left="432" w:right="0" w:hanging="432"/>
        <w:jc w:val="both"/>
        <w:rPr/>
      </w:pPr>
      <w:bookmarkStart w:id="17" w:name="_Toc137820514"/>
      <w:r>
        <w:rPr/>
        <w:t xml:space="preserve">Требования к объемам и срокам </w:t>
      </w:r>
      <w:bookmarkEnd w:id="17"/>
      <w:r>
        <w:rPr>
          <w:lang w:val="ru-RU"/>
        </w:rPr>
        <w:t>выполнения работ</w:t>
      </w:r>
    </w:p>
    <w:p>
      <w:pPr>
        <w:pStyle w:val="3"/>
        <w:numPr>
          <w:ilvl w:val="2"/>
          <w:numId w:val="2"/>
        </w:numPr>
        <w:ind w:left="567" w:right="0" w:hanging="567"/>
        <w:jc w:val="both"/>
        <w:rPr/>
      </w:pPr>
      <w:bookmarkStart w:id="18" w:name="_Toc137820515"/>
      <w:bookmarkEnd w:id="18"/>
      <w:r>
        <w:rPr/>
        <w:t>Требования к видам и объемам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19" w:name="_Toc51339695"/>
      <w:bookmarkStart w:id="20" w:name="_Toc137820516"/>
      <w:r>
        <w:rPr>
          <w:sz w:val="24"/>
        </w:rPr>
        <w:t xml:space="preserve">Таблица 2. Перечень </w:t>
      </w:r>
      <w:bookmarkEnd w:id="19"/>
      <w:bookmarkEnd w:id="20"/>
      <w:r>
        <w:rPr>
          <w:sz w:val="24"/>
        </w:rPr>
        <w:t>и объем выполняемых работ</w:t>
      </w:r>
    </w:p>
    <w:tbl>
      <w:tblPr>
        <w:tblW w:w="10161" w:type="dxa"/>
        <w:jc w:val="left"/>
        <w:tblInd w:w="-1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552"/>
        <w:gridCol w:w="6816"/>
        <w:gridCol w:w="723"/>
        <w:gridCol w:w="2069"/>
      </w:tblGrid>
      <w:tr>
        <w:trPr/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Определение координат характерных точек границ сооружения.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  <w:highlight w:val="white"/>
              </w:rPr>
              <w:t>2</w:t>
            </w:r>
          </w:p>
        </w:tc>
      </w:tr>
      <w:tr>
        <w:trPr>
          <w:trHeight w:val="1124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0" w:leader="none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eastAsia="Times New Roman" w:cs="Times New Roman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Подготовка технических планов на объекты капитального строительства на электронном носителе, для последующего предоставления в орган кадастрового учета и постановки объекта на кадастровый учет, судебный орган, либо уточнения местоположения границ объекта.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  <w:highlight w:val="white"/>
              </w:rPr>
              <w:t>5</w:t>
            </w:r>
          </w:p>
        </w:tc>
      </w:tr>
    </w:tbl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r>
        <w:rPr/>
      </w:r>
    </w:p>
    <w:p>
      <w:pPr>
        <w:pStyle w:val="3"/>
        <w:numPr>
          <w:ilvl w:val="2"/>
          <w:numId w:val="2"/>
        </w:numPr>
        <w:ind w:left="567" w:right="0" w:hanging="567"/>
        <w:jc w:val="both"/>
        <w:rPr/>
      </w:pPr>
      <w:bookmarkStart w:id="21" w:name="_Toc51339696"/>
      <w:bookmarkStart w:id="22" w:name="_Toc137820517"/>
      <w:r>
        <w:rPr/>
        <w:t xml:space="preserve">Требования </w:t>
      </w:r>
      <w:bookmarkEnd w:id="21"/>
      <w:bookmarkEnd w:id="22"/>
      <w:r>
        <w:rPr/>
        <w:t>к срокам выполнения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23" w:name="_Toc50125127"/>
      <w:bookmarkStart w:id="24" w:name="_Toc51339697"/>
      <w:bookmarkStart w:id="25" w:name="_Toc137820518"/>
      <w:bookmarkStart w:id="26" w:name="_Toc501251261"/>
      <w:bookmarkEnd w:id="26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27" w:name="_Hlk50465284"/>
      <w:r>
        <w:rPr/>
        <w:t xml:space="preserve">Требования по срокам </w:t>
      </w:r>
      <w:bookmarkEnd w:id="23"/>
      <w:bookmarkEnd w:id="24"/>
      <w:bookmarkEnd w:id="25"/>
      <w:bookmarkEnd w:id="27"/>
      <w:r>
        <w:rPr>
          <w:lang w:val="ru-RU"/>
        </w:rPr>
        <w:t>выполнения работ</w:t>
      </w:r>
    </w:p>
    <w:tbl>
      <w:tblPr>
        <w:tblW w:w="9776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459"/>
        <w:gridCol w:w="4236"/>
        <w:gridCol w:w="2019"/>
        <w:gridCol w:w="1534"/>
        <w:gridCol w:w="1528"/>
      </w:tblGrid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Liberation Serif" w:hAnsi="Liberation Serif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val="ru-RU" w:eastAsia="ru-RU" w:bidi="ar-SA"/>
              </w:rPr>
              <w:t>Перечень объектов заказчика (Таблица 1)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284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5</w:t>
            </w:r>
          </w:p>
        </w:tc>
      </w:tr>
      <w:tr>
        <w:trPr>
          <w:trHeight w:val="2567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Определение координат характерных точек сооружения</w:t>
            </w:r>
          </w:p>
          <w:p>
            <w:pPr>
              <w:pStyle w:val="Normal"/>
              <w:widowControl w:val="false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1-5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15.07.2026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технических планов на объекты капитального строительства на электронном носителе, для последующего предоставления в орган кадастрового учета и постановки объекта на кадастровый учет, судебный орган в эл. виде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1-5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15.07.2026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  <w:lang w:val="en-US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</w:pPr>
    </w:p>
    <w:p>
      <w:pPr>
        <w:pStyle w:val="4"/>
        <w:numPr>
          <w:ilvl w:val="1"/>
          <w:numId w:val="2"/>
        </w:numPr>
        <w:ind w:left="432" w:right="0" w:hanging="432"/>
        <w:jc w:val="both"/>
        <w:rPr/>
      </w:pPr>
      <w:bookmarkStart w:id="28" w:name="_Toc51339698"/>
      <w:bookmarkStart w:id="29" w:name="_Toc137820519"/>
      <w:r>
        <w:rPr/>
        <w:t xml:space="preserve">Требования к </w:t>
      </w:r>
      <w:bookmarkEnd w:id="29"/>
      <w:r>
        <w:rPr>
          <w:lang w:val="ru-RU"/>
        </w:rPr>
        <w:t>качеству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30" w:name="_Toc137820520"/>
      <w:r>
        <w:rPr/>
        <w:t>Таблица</w:t>
      </w:r>
      <w:r>
        <w:rPr>
          <w:lang w:val="ru-RU"/>
        </w:rPr>
        <w:t xml:space="preserve"> 4</w:t>
      </w:r>
      <w:r>
        <w:rPr/>
        <w:t xml:space="preserve">. Требования к </w:t>
      </w:r>
      <w:bookmarkEnd w:id="28"/>
      <w:r>
        <w:rPr>
          <w:lang w:val="ru-RU"/>
        </w:rPr>
        <w:t>качеству работ</w:t>
      </w:r>
      <w:bookmarkEnd w:id="30"/>
      <w:r>
        <w:rPr/>
        <w:t xml:space="preserve"> </w:t>
      </w:r>
    </w:p>
    <w:p>
      <w:pPr>
        <w:pStyle w:val="Normal"/>
        <w:snapToGrid w:val="false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работ:</w:t>
      </w:r>
    </w:p>
    <w:p>
      <w:pPr>
        <w:pStyle w:val="Normal"/>
        <w:snapToGrid w:val="false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позиции № 1 и № 2 таблицы 2</w:t>
      </w:r>
    </w:p>
    <w:tbl>
      <w:tblPr>
        <w:tblW w:w="15309" w:type="dxa"/>
        <w:jc w:val="left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28" w:type="dxa"/>
        </w:tblCellMar>
      </w:tblPr>
      <w:tblGrid>
        <w:gridCol w:w="673"/>
        <w:gridCol w:w="2111"/>
        <w:gridCol w:w="10681"/>
        <w:gridCol w:w="1843"/>
      </w:tblGrid>
      <w:tr>
        <w:trPr>
          <w:trHeight w:val="162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Подтверждение участником соответствия в виде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согласия с требованием</w:t>
            </w:r>
          </w:p>
        </w:tc>
      </w:tr>
      <w:tr>
        <w:trPr>
          <w:trHeight w:val="18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993" w:leader="none"/>
              </w:tabs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792" w:right="0" w:hanging="432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993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1. Подготовительные работы.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1.1. До начала выполнения работ приказом Подрядной организации назначаются ответственные лица за выполнение работ по геодезическому измерению на местности опор и трансформаторных подстанций, обработку полученных координат, составлению схем, карт (планов), с указанием Ф.И.О., документа, подтверждающего квалификацию, контактных данных (тел., email);</w:t>
            </w:r>
          </w:p>
          <w:p>
            <w:pPr>
              <w:pStyle w:val="Normal"/>
              <w:widowControl w:val="false"/>
              <w:tabs>
                <w:tab w:val="left" w:pos="851" w:leader="none"/>
              </w:tabs>
              <w:spacing w:lineRule="auto" w:line="240"/>
              <w:jc w:val="both"/>
              <w:rPr/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1.2. </w:t>
            </w:r>
            <w:r>
              <w:rPr>
                <w:i/>
                <w:sz w:val="24"/>
                <w:szCs w:val="24"/>
                <w:highlight w:val="white"/>
              </w:rPr>
              <w:t>Сбор необходимой документации из Фонда данных Росреестра осуществляется Исполнителем самостоятельно за счет собственных средств.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Подготовительные работы включают в себя сбор и анализ следующих</w:t>
            </w:r>
            <w:r>
              <w:rPr>
                <w:b/>
                <w:bCs/>
                <w:i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i/>
                <w:sz w:val="24"/>
                <w:szCs w:val="24"/>
                <w:highlight w:val="white"/>
              </w:rPr>
              <w:t>необходимых документов и материалов по объектам электросетевого хозяйства: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Государственного кадастра недвижимости (далее – ГКН) в виде выписок на земельные участки, занятые объектами электросетевого хозяйства АО «ДРСК»;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кадастровых планов соответствующих территорий;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выписок из ЕГРН на прочие земельные участки в границах охранных зон;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выписок из ЕГРН на объекты недвижимого имущества;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о границах муниципальных образований (район);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технической документации на объекты недвижимого имущества;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картографических материалов, требуемых масштабов, в территориальных органах Росреестра и других организациях по месту нахождения объектов недвижимости;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правоустанавливающих документов на объекты электросетевого хозяйства;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копий учредительных документов АО «ДРСК»;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bCs/>
                <w:i/>
                <w:sz w:val="24"/>
                <w:szCs w:val="24"/>
                <w:highlight w:val="white"/>
              </w:rPr>
              <w:t>2. Подготовка технического плана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2.1. При выполнении работ с Заказчиком согласовываются: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- состав объекта, подлежащего технической инвентаризации;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- технические характеристики объекта.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2.2. Технический план должен быть составлен по форме и соответствовать требованиям, установленным действующим законодательством РФ (Приказ Росреестра от 15.03.2022 N П/0082 «Об установлении формы технического плана, требований к его подготовке и состава содержащихся в нем сведений», Приказ Росреестра от 06.09.2023 N П/0347 "О размещении 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технического плана здания, сооружения, объекта незавершенного строительства, помещения, машино-места, единого недвижимого комплекса в форме электронного документа" или иные документы, действующие на момент выполнения работ Исполнителем).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2.3.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такой план.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792" w:right="0" w:hanging="432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технические требования к оборудованию Исполнителя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соответствии с требованиями, предусмотренными законодательством Российской Федерации по выполнению кадастровых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Требования к результатам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right="0" w:firstLine="142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Общие требования к результатам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Результат работ: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- технические планы на ОКС (в виде электронного документа в формате XML, подписанного усиленной квалифицированной электронной подписью подготовившего их лица);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cчёт и акт выполненных работ в двух экземплярах с указанием выполненных работ.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Исполнитель обеспечивает выполнение работ в срок, в соответствии с проектом договора, в рамках данных технических требований с соблюдением действующего законодательства, регламентирующего деятельность в области выполнения кадастровых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кадастровых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обеспечивает строгое соблюдение настоящих требований и требований, содержащихся в иных документах, регламентирующих деятельность в области выполнения кадастровых работ.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обеспечивает: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Выполнение работ в полном соответствии с настоящими техническими требованиями, условиями договора и с соблюдением действующего законодательства, регламентирующего деятельность в области выполнения кадастровых работ;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/>
                <w:sz w:val="24"/>
                <w:szCs w:val="24"/>
              </w:rPr>
              <w:t>- Качество выполнения всех работ в соответствии с требованиями действующего законодательства, регламентирующего деятельность в области выполнения кадастровых работ и технической инвентаризации;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Своевременное устранение недостатков и дефектов, выявленных при приемке работ и в течение гарантийного срока.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При внесении в действующее законодательство изменений, влияющих на выполнение указанных в настоящих технических требованиях работ, настоящие технические требования подлежит корректировке по согласованию с Заказчиком.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  <w:sz w:val="24"/>
                <w:szCs w:val="24"/>
              </w:rPr>
              <w:t>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подрядной организации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Гарантии качества на все работы, предусмотренные в настоящих технических требованиях, должны составлять 5 (пять) лет с момента подписания акт сдачи-приемки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4294952959"/>
        </w:sectPr>
      </w:pPr>
    </w:p>
    <w:p>
      <w:pPr>
        <w:pStyle w:val="1"/>
        <w:numPr>
          <w:ilvl w:val="0"/>
          <w:numId w:val="2"/>
        </w:numPr>
        <w:ind w:left="284" w:right="0" w:hanging="567"/>
        <w:jc w:val="both"/>
        <w:rPr/>
      </w:pPr>
      <w:bookmarkStart w:id="31" w:name="_Toc53393312"/>
      <w:bookmarkStart w:id="32" w:name="_Toc137820521"/>
      <w:r>
        <w:rPr/>
        <w:t>Требования к документации по ценообразованию</w:t>
      </w:r>
      <w:bookmarkEnd w:id="31"/>
      <w:bookmarkEnd w:id="32"/>
      <w:r>
        <w:rPr/>
        <w:t xml:space="preserve"> на этапе закупки</w:t>
      </w:r>
    </w:p>
    <w:p>
      <w:pPr>
        <w:pStyle w:val="Normal"/>
        <w:ind w:left="0" w:right="0" w:firstLine="357"/>
        <w:jc w:val="both"/>
        <w:rPr/>
      </w:pPr>
      <w:r>
        <w:rPr>
          <w:rFonts w:eastAsia="Calibri"/>
          <w:i/>
          <w:iCs/>
          <w:sz w:val="24"/>
          <w:szCs w:val="24"/>
          <w:lang w:val="x-none" w:eastAsia="x-none"/>
        </w:rPr>
        <w:t xml:space="preserve">В составе заявки Участник представляет Коммерческое предложение в соответствии с документацией о закупке. </w:t>
      </w:r>
      <w:r>
        <w:rPr>
          <w:rFonts w:eastAsia="Calibri"/>
          <w:i/>
          <w:iCs/>
          <w:sz w:val="24"/>
          <w:szCs w:val="24"/>
          <w:lang w:eastAsia="x-none"/>
        </w:rPr>
        <w:t>Дополнительные документы по ценообразованию не предоставляются.</w:t>
      </w:r>
    </w:p>
    <w:p>
      <w:pPr>
        <w:pStyle w:val="Normal"/>
        <w:ind w:left="0" w:right="0" w:firstLine="357"/>
        <w:jc w:val="both"/>
        <w:rPr>
          <w:lang w:eastAsia="x-none"/>
        </w:rPr>
      </w:pPr>
      <w:r>
        <w:rPr>
          <w:lang w:eastAsia="x-none"/>
        </w:rPr>
      </w:r>
    </w:p>
    <w:p>
      <w:pPr>
        <w:pStyle w:val="1"/>
        <w:numPr>
          <w:ilvl w:val="0"/>
          <w:numId w:val="2"/>
        </w:numPr>
        <w:ind w:left="0" w:right="0" w:hanging="0"/>
        <w:jc w:val="both"/>
        <w:rPr/>
      </w:pPr>
      <w:bookmarkStart w:id="33" w:name="_Toc137820522"/>
      <w:bookmarkStart w:id="34" w:name="_Toc51339699"/>
      <w:bookmarkStart w:id="35" w:name="_Toc46743519"/>
      <w:bookmarkEnd w:id="33"/>
      <w:bookmarkEnd w:id="34"/>
      <w:bookmarkEnd w:id="35"/>
      <w:r>
        <w:rPr/>
        <w:t>Приложения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Требования к участнику.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Начальник отдела управления имуществом</w:t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филиала АО «ДРСК» «ПЭС»                                                                                          Якимчук А.В.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(дата)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</w:p>
  <w:p>
    <w:pPr>
      <w:pStyle w:val="Style37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327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pPr>
      <w:numPr>
        <w:ilvl w:val="0"/>
        <w:numId w:val="0"/>
      </w:numPr>
      <w:ind w:left="567" w:right="0" w:hanging="567"/>
    </w:pPr>
    <w:rPr/>
  </w:style>
  <w:style w:type="paragraph" w:styleId="3">
    <w:name w:val="Heading 3"/>
    <w:basedOn w:val="Normal"/>
    <w:autoRedefine/>
    <w:qFormat/>
    <w:pPr>
      <w:keepNext w:val="true"/>
      <w:numPr>
        <w:ilvl w:val="2"/>
        <w:numId w:val="1"/>
      </w:numPr>
      <w:ind w:left="567" w:right="0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>
    <w:name w:val="Интернет-ссылка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91">
    <w:name w:val="Заголовок 9 Знак"/>
    <w:qFormat/>
    <w:rPr>
      <w:rFonts w:ascii="Arial" w:hAnsi="Arial" w:cs="Arial"/>
      <w:sz w:val="22"/>
      <w:szCs w:val="22"/>
    </w:rPr>
  </w:style>
  <w:style w:type="character" w:styleId="Style8">
    <w:name w:val="Название Знак"/>
    <w:qFormat/>
    <w:rPr>
      <w:sz w:val="28"/>
    </w:rPr>
  </w:style>
  <w:style w:type="character" w:styleId="Style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qFormat/>
    <w:rPr>
      <w:i/>
      <w:iCs/>
    </w:rPr>
  </w:style>
  <w:style w:type="character" w:styleId="22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11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12">
    <w:name w:val="Подпункт Знак1"/>
    <w:qFormat/>
    <w:rPr>
      <w:sz w:val="28"/>
    </w:rPr>
  </w:style>
  <w:style w:type="character" w:styleId="Style13">
    <w:name w:val="Текст сноски Знак"/>
    <w:qFormat/>
    <w:rPr/>
  </w:style>
  <w:style w:type="character" w:styleId="Style14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Style16">
    <w:name w:val="комментарий"/>
    <w:qFormat/>
    <w:rPr>
      <w:i/>
    </w:rPr>
  </w:style>
  <w:style w:type="character" w:styleId="Style17">
    <w:name w:val="Подподпункт Знак"/>
    <w:qFormat/>
    <w:rPr>
      <w:sz w:val="26"/>
      <w:szCs w:val="26"/>
    </w:rPr>
  </w:style>
  <w:style w:type="character" w:styleId="32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Style19">
    <w:name w:val="Текст примечания Знак"/>
    <w:qFormat/>
    <w:rPr/>
  </w:style>
  <w:style w:type="character" w:styleId="Style20">
    <w:name w:val="Текст концевой сноски Знак"/>
    <w:basedOn w:val="DefaultParagraphFont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23">
    <w:name w:val="Пункт2 Знак"/>
    <w:qFormat/>
    <w:rPr>
      <w:b/>
      <w:sz w:val="28"/>
    </w:rPr>
  </w:style>
  <w:style w:type="character" w:styleId="13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33">
    <w:name w:val="Основной текст с отступом 3 Знак"/>
    <w:qFormat/>
    <w:rPr>
      <w:sz w:val="16"/>
      <w:szCs w:val="16"/>
    </w:rPr>
  </w:style>
  <w:style w:type="character" w:styleId="Style23">
    <w:name w:val="Посещённая гиперссылка"/>
    <w:basedOn w:val="DefaultParagraphFont"/>
    <w:rPr>
      <w:color w:val="954F72"/>
      <w:u w:val="single"/>
    </w:rPr>
  </w:style>
  <w:style w:type="character" w:styleId="Style24">
    <w:name w:val="Ссылка указателя"/>
    <w:qFormat/>
    <w:rPr/>
  </w:style>
  <w:style w:type="character" w:styleId="Style25">
    <w:name w:val="Символ нумерации"/>
    <w:qFormat/>
    <w:rPr/>
  </w:style>
  <w:style w:type="character" w:styleId="ListLabel1">
    <w:name w:val="ListLabel 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2">
    <w:name w:val="ListLabel 2"/>
    <w:qFormat/>
    <w:rPr>
      <w:b/>
      <w:bCs/>
      <w:i w:val="false"/>
      <w:iCs/>
      <w:sz w:val="24"/>
      <w:szCs w:val="24"/>
    </w:rPr>
  </w:style>
  <w:style w:type="character" w:styleId="ListLabel3">
    <w:name w:val="ListLabel 3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4">
    <w:name w:val="ListLabel 4"/>
    <w:qFormat/>
    <w:rPr>
      <w:b/>
      <w:bCs/>
      <w:i w:val="false"/>
      <w:iCs/>
      <w:sz w:val="24"/>
      <w:szCs w:val="24"/>
    </w:rPr>
  </w:style>
  <w:style w:type="character" w:styleId="ListLabel5">
    <w:name w:val="ListLabel 5"/>
    <w:qFormat/>
    <w:rPr>
      <w:b/>
      <w:bCs w:val="false"/>
      <w:sz w:val="24"/>
      <w:szCs w:val="24"/>
    </w:rPr>
  </w:style>
  <w:style w:type="character" w:styleId="ListLabel6">
    <w:name w:val="ListLabel 6"/>
    <w:qFormat/>
    <w:rPr>
      <w:b/>
      <w:bCs/>
      <w:sz w:val="24"/>
      <w:szCs w:val="24"/>
    </w:rPr>
  </w:style>
  <w:style w:type="character" w:styleId="ListLabel7">
    <w:name w:val="ListLabel 7"/>
    <w:qFormat/>
    <w:rPr>
      <w:sz w:val="24"/>
      <w:szCs w:val="24"/>
    </w:rPr>
  </w:style>
  <w:style w:type="character" w:styleId="ListLabel8">
    <w:name w:val="ListLabel 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9">
    <w:name w:val="ListLabel 9"/>
    <w:qFormat/>
    <w:rPr>
      <w:b/>
      <w:bCs/>
      <w:i w:val="false"/>
      <w:iCs/>
      <w:sz w:val="24"/>
      <w:szCs w:val="24"/>
    </w:rPr>
  </w:style>
  <w:style w:type="character" w:styleId="ListLabel10">
    <w:name w:val="ListLabel 1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1">
    <w:name w:val="ListLabel 11"/>
    <w:qFormat/>
    <w:rPr>
      <w:b/>
      <w:bCs/>
      <w:i w:val="false"/>
      <w:iCs/>
      <w:sz w:val="24"/>
      <w:szCs w:val="24"/>
    </w:rPr>
  </w:style>
  <w:style w:type="character" w:styleId="ListLabel12">
    <w:name w:val="ListLabel 12"/>
    <w:qFormat/>
    <w:rPr>
      <w:b/>
      <w:bCs w:val="false"/>
      <w:sz w:val="24"/>
      <w:szCs w:val="24"/>
    </w:rPr>
  </w:style>
  <w:style w:type="character" w:styleId="ListLabel13">
    <w:name w:val="ListLabel 13"/>
    <w:qFormat/>
    <w:rPr>
      <w:b/>
      <w:bCs/>
      <w:sz w:val="24"/>
      <w:szCs w:val="24"/>
    </w:rPr>
  </w:style>
  <w:style w:type="character" w:styleId="ListLabel14">
    <w:name w:val="ListLabel 14"/>
    <w:qFormat/>
    <w:rPr>
      <w:sz w:val="24"/>
      <w:szCs w:val="24"/>
    </w:rPr>
  </w:style>
  <w:style w:type="character" w:styleId="ListLabel15">
    <w:name w:val="ListLabel 1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16">
    <w:name w:val="ListLabel 16"/>
    <w:qFormat/>
    <w:rPr>
      <w:b/>
      <w:bCs/>
      <w:i w:val="false"/>
      <w:iCs/>
      <w:sz w:val="24"/>
      <w:szCs w:val="24"/>
    </w:rPr>
  </w:style>
  <w:style w:type="character" w:styleId="ListLabel17">
    <w:name w:val="ListLabel 1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8">
    <w:name w:val="ListLabel 18"/>
    <w:qFormat/>
    <w:rPr>
      <w:b/>
      <w:bCs/>
      <w:i w:val="false"/>
      <w:iCs/>
      <w:sz w:val="24"/>
      <w:szCs w:val="24"/>
    </w:rPr>
  </w:style>
  <w:style w:type="character" w:styleId="ListLabel19">
    <w:name w:val="ListLabel 19"/>
    <w:qFormat/>
    <w:rPr>
      <w:b/>
      <w:bCs w:val="false"/>
      <w:sz w:val="24"/>
      <w:szCs w:val="24"/>
    </w:rPr>
  </w:style>
  <w:style w:type="character" w:styleId="ListLabel20">
    <w:name w:val="ListLabel 20"/>
    <w:qFormat/>
    <w:rPr>
      <w:b/>
      <w:bCs/>
      <w:sz w:val="24"/>
      <w:szCs w:val="24"/>
    </w:rPr>
  </w:style>
  <w:style w:type="character" w:styleId="ListLabel21">
    <w:name w:val="ListLabel 21"/>
    <w:qFormat/>
    <w:rPr>
      <w:sz w:val="24"/>
      <w:szCs w:val="24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7">
    <w:name w:val="Body Text"/>
    <w:basedOn w:val="Normal"/>
    <w:pPr>
      <w:spacing w:before="0" w:after="12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Style32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33">
    <w:name w:val="Раздел положения"/>
    <w:basedOn w:val="Normal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34">
    <w:name w:val="Подраздел раздела положения"/>
    <w:basedOn w:val="Normal"/>
    <w:autoRedefine/>
    <w:qFormat/>
    <w:pPr>
      <w:spacing w:before="80" w:after="80"/>
      <w:jc w:val="both"/>
    </w:pPr>
    <w:rPr/>
  </w:style>
  <w:style w:type="paragraph" w:styleId="Style35">
    <w:name w:val="Footnote Text"/>
    <w:basedOn w:val="Normal"/>
    <w:pPr/>
    <w:rPr>
      <w:sz w:val="20"/>
      <w:szCs w:val="20"/>
    </w:rPr>
  </w:style>
  <w:style w:type="paragraph" w:styleId="15">
    <w:name w:val="Шапка 1"/>
    <w:basedOn w:val="Normal"/>
    <w:qFormat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>
    <w:name w:val="Шапка 2"/>
    <w:basedOn w:val="Normal"/>
    <w:qFormat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Style36">
    <w:name w:val="Колонтитул"/>
    <w:basedOn w:val="Normal"/>
    <w:qFormat/>
    <w:pPr/>
    <w:rPr/>
  </w:style>
  <w:style w:type="paragraph" w:styleId="Style37">
    <w:name w:val="Header"/>
    <w:basedOn w:val="Normal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8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Style39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0">
    <w:name w:val="Подпункт"/>
    <w:basedOn w:val="Normal"/>
    <w:qFormat/>
    <w:pPr>
      <w:tabs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5">
    <w:name w:val="Пункт2"/>
    <w:basedOn w:val="Normal"/>
    <w:qFormat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17">
    <w:name w:val="TOC 1"/>
    <w:basedOn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41">
    <w:name w:val="Раздел регламента"/>
    <w:basedOn w:val="Normal"/>
    <w:qFormat/>
    <w:pPr/>
    <w:rPr/>
  </w:style>
  <w:style w:type="paragraph" w:styleId="Style42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42">
    <w:name w:val="TOC 4"/>
    <w:basedOn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7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3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4">
    <w:name w:val="Subtitle"/>
    <w:basedOn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5">
    <w:name w:val="Index Heading"/>
    <w:basedOn w:val="Style26"/>
    <w:pPr/>
    <w:rPr/>
  </w:style>
  <w:style w:type="paragraph" w:styleId="TOCHeading">
    <w:name w:val="TOC Heading"/>
    <w:basedOn w:val="1"/>
    <w:qFormat/>
    <w:pPr>
      <w:keepLines/>
      <w:numPr>
        <w:ilvl w:val="0"/>
        <w:numId w:val="0"/>
      </w:numPr>
      <w:spacing w:before="480" w:after="0"/>
      <w:ind w:left="567" w:right="0" w:hanging="567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Style4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>
    <w:name w:val="Нумерованный список ур3"/>
    <w:basedOn w:val="Normal"/>
    <w:qFormat/>
    <w:p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>
    <w:name w:val="Нумерованный список ур2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sz w:val="28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7">
    <w:name w:val="Пункт"/>
    <w:basedOn w:val="Normal"/>
    <w:qFormat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0">
    <w:name w:val="Подподпункт"/>
    <w:basedOn w:val="Style40"/>
    <w:qFormat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51">
    <w:name w:val="УРОВЕНЬ_(а)"/>
    <w:basedOn w:val="ListParagraph"/>
    <w:qFormat/>
    <w:pPr>
      <w:spacing w:lineRule="exact" w:line="360" w:before="120" w:after="0"/>
      <w:ind w:left="720" w:right="0" w:hanging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2">
    <w:name w:val="УРОВЕНЬ_-"/>
    <w:basedOn w:val="ListParagraph"/>
    <w:qFormat/>
    <w:pPr>
      <w:spacing w:lineRule="exact" w:line="360" w:before="120" w:after="0"/>
      <w:ind w:left="720" w:right="0" w:hanging="0"/>
      <w:contextualSpacing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3">
    <w:name w:val="УРОВЕНЬ_Подпись"/>
    <w:basedOn w:val="ListParagraph"/>
    <w:qFormat/>
    <w:pPr>
      <w:keepNext w:val="true"/>
      <w:spacing w:lineRule="exact" w:line="360" w:before="120" w:after="120"/>
      <w:ind w:left="720" w:right="0" w:hanging="0"/>
      <w:contextualSpacing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>
    <w:name w:val="Endnote Symbol"/>
    <w:basedOn w:val="Normal"/>
    <w:qFormat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qFormat/>
    <w:pPr>
      <w:keepNext w:val="true"/>
      <w:keepLines/>
      <w:spacing w:lineRule="auto" w:line="276" w:before="240" w:after="120"/>
      <w:ind w:left="0" w:righ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72">
    <w:name w:val="TOC 7"/>
    <w:basedOn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Font5">
    <w:name w:val="font5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Font6">
    <w:name w:val="font6"/>
    <w:basedOn w:val="Normal"/>
    <w:qFormat/>
    <w:pPr>
      <w:spacing w:before="280" w:after="280"/>
    </w:pPr>
    <w:rPr>
      <w:color w:val="000000"/>
      <w:sz w:val="14"/>
      <w:szCs w:val="14"/>
    </w:rPr>
  </w:style>
  <w:style w:type="paragraph" w:styleId="Xl63">
    <w:name w:val="xl63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4">
    <w:name w:val="xl64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both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i/>
      <w:iCs/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i/>
      <w:iCs/>
      <w:sz w:val="24"/>
      <w:szCs w:val="24"/>
    </w:rPr>
  </w:style>
  <w:style w:type="paragraph" w:styleId="Xl70">
    <w:name w:val="xl70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1">
    <w:name w:val="xl71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2">
    <w:name w:val="xl72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3">
    <w:name w:val="xl73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4">
    <w:name w:val="xl74"/>
    <w:basedOn w:val="Normal"/>
    <w:qFormat/>
    <w:pPr>
      <w:pBdr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5">
    <w:name w:val="xl75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7">
    <w:name w:val="xl77"/>
    <w:basedOn w:val="Normal"/>
    <w:qFormat/>
    <w:pPr>
      <w:pBdr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9">
    <w:name w:val="xl7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/>
    <w:rPr/>
  </w:style>
  <w:style w:type="paragraph" w:styleId="Style191">
    <w:name w:val="Style19"/>
    <w:basedOn w:val="Normal"/>
    <w:qFormat/>
    <w:pPr>
      <w:widowControl w:val="false"/>
      <w:spacing w:lineRule="exact" w:line="317"/>
      <w:ind w:left="0" w:right="0" w:firstLine="144"/>
      <w:jc w:val="both"/>
    </w:pPr>
    <w:rPr/>
  </w:style>
  <w:style w:type="numbering" w:styleId="112">
    <w:name w:val="Стиль1"/>
    <w:qFormat/>
  </w:style>
  <w:style w:type="numbering" w:styleId="211">
    <w:name w:val="Стиль2"/>
    <w:qFormat/>
  </w:style>
  <w:style w:type="numbering" w:styleId="34614631651">
    <w:name w:val="346146316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18668</TotalTime>
  <Application>LibreOffice/5.3.6.1$Linux_X86_64 LibreOffice_project/30$Build-1</Application>
  <Pages>9</Pages>
  <Words>1395</Words>
  <Characters>9545</Characters>
  <CharactersWithSpaces>10834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2023-09-11T07:06:00Z</dcterms:created>
  <dc:creator>Елькин Алексей Юрьевич</dc:creator>
  <dc:description/>
  <dc:language>ru-RU</dc:language>
  <cp:lastModifiedBy/>
  <cp:lastPrinted>2026-05-20T15:56:30Z</cp:lastPrinted>
  <dcterms:modified xsi:type="dcterms:W3CDTF">2026-06-11T15:22:55Z</dcterms:modified>
  <cp:revision>102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