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sz w:val="24"/>
          <w:szCs w:val="24"/>
        </w:rPr>
      </w:pPr>
      <w:r>
        <w:rPr>
          <w:rFonts w:eastAsia="" w:eastAsiaTheme="minorHAnsi"/>
          <w:sz w:val="24"/>
          <w:szCs w:val="24"/>
          <w:lang w:eastAsia="ru-RU"/>
        </w:rPr>
        <w:t xml:space="preserve">Приложение </w:t>
      </w:r>
      <w:r>
        <w:rPr>
          <w:rFonts w:eastAsia="" w:eastAsiaTheme="minorHAnsi"/>
          <w:sz w:val="24"/>
          <w:szCs w:val="24"/>
          <w:lang w:eastAsia="ru-RU"/>
        </w:rPr>
        <w:t>5</w:t>
      </w:r>
      <w:r>
        <w:rPr>
          <w:rFonts w:eastAsia="" w:eastAsiaTheme="minorHAnsi"/>
          <w:sz w:val="24"/>
          <w:szCs w:val="24"/>
          <w:lang w:eastAsia="ru-RU"/>
        </w:rPr>
        <w:t xml:space="preserve"> к Техническим требованиям </w:t>
      </w:r>
    </w:p>
    <w:p>
      <w:pPr>
        <w:pStyle w:val="Default"/>
        <w:jc w:val="right"/>
        <w:rPr>
          <w:rFonts w:eastAsia="" w:eastAsiaTheme="minorHAnsi"/>
          <w:sz w:val="28"/>
          <w:szCs w:val="28"/>
          <w:lang w:eastAsia="ru-RU"/>
        </w:rPr>
      </w:pPr>
      <w:r>
        <w:rPr>
          <w:rFonts w:eastAsia="" w:eastAsiaTheme="minorHAnsi"/>
          <w:sz w:val="28"/>
          <w:szCs w:val="28"/>
          <w:lang w:eastAsia="ru-RU"/>
        </w:rPr>
      </w:r>
    </w:p>
    <w:p>
      <w:pPr>
        <w:pStyle w:val="Default"/>
        <w:jc w:val="center"/>
        <w:rPr/>
      </w:pPr>
      <w:r>
        <w:rPr>
          <w:rFonts w:eastAsia="" w:eastAsiaTheme="minorHAnsi"/>
          <w:sz w:val="28"/>
          <w:szCs w:val="28"/>
          <w:lang w:eastAsia="ru-RU"/>
        </w:rPr>
        <w:t xml:space="preserve">Расчет потребления мощности и тепловыделения шкафов </w:t>
      </w:r>
    </w:p>
    <w:p>
      <w:pPr>
        <w:pStyle w:val="Default"/>
        <w:jc w:val="center"/>
        <w:rPr/>
      </w:pPr>
      <w:r>
        <w:rPr>
          <w:rFonts w:eastAsia="" w:eastAsiaTheme="minorHAnsi"/>
          <w:sz w:val="28"/>
          <w:szCs w:val="28"/>
          <w:lang w:eastAsia="ru-RU"/>
        </w:rPr>
        <w:t>САУ ГА3 Чиркейской ГЭС.</w:t>
      </w:r>
    </w:p>
    <w:p>
      <w:pPr>
        <w:pStyle w:val="Normal"/>
        <w:bidi w:val="0"/>
        <w:jc w:val="left"/>
        <w:rPr>
          <w:b/>
          <w:bCs/>
          <w:sz w:val="28"/>
          <w:szCs w:val="28"/>
          <w:u w:val="single"/>
        </w:rPr>
      </w:pPr>
      <w:r>
        <w:rPr>
          <w:rFonts w:eastAsia="" w:eastAsiaTheme="minorHAnsi"/>
          <w:b/>
          <w:bCs/>
          <w:sz w:val="28"/>
          <w:szCs w:val="28"/>
          <w:u w:val="single"/>
          <w:lang w:eastAsia="ru-RU"/>
        </w:rPr>
        <w:t>Таблица .</w:t>
      </w:r>
    </w:p>
    <w:tbl>
      <w:tblPr>
        <w:tblW w:w="962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8"/>
        <w:gridCol w:w="2418"/>
        <w:gridCol w:w="2402"/>
        <w:gridCol w:w="2413"/>
      </w:tblGrid>
      <w:tr>
        <w:trPr/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оборудования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Потребляемая мощность, Вт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Тепловыделение</w:t>
            </w:r>
          </w:p>
        </w:tc>
      </w:tr>
      <w:tr>
        <w:trPr/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кДж/ч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BTU/h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АРЧМ-МНУ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1000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3600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3412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МПУ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463,73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1669,43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1582,25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ТАиУВО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337,40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1214,64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1151,21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УСО ТАиУВО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218,09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785,12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744,12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ТК УСО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260,15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936,54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887,63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МПЗТ к1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400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1440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1364,8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МПЗТ к2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400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1440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1364,8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t>ЭИ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/>
            </w:pPr>
            <w:r>
              <w:rPr/>
              <w:t>400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1440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jc w:val="center"/>
              <w:rPr>
                <w:rFonts w:ascii="Liberation Serif;Times New Roman" w:hAnsi="Liberation Serif;Times New Roman"/>
                <w:sz w:val="24"/>
              </w:rPr>
            </w:pPr>
            <w:r>
              <w:rPr>
                <w:rFonts w:ascii="Liberation Serif;Times New Roman" w:hAnsi="Liberation Serif;Times New Roman"/>
                <w:sz w:val="24"/>
              </w:rPr>
              <w:t>1364,8</w:t>
            </w:r>
          </w:p>
        </w:tc>
      </w:tr>
      <w:tr>
        <w:trPr/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3479,37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12525,73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11871,61</w:t>
            </w:r>
          </w:p>
        </w:tc>
      </w:tr>
    </w:tbl>
    <w:p>
      <w:pPr>
        <w:pStyle w:val="Normal"/>
        <w:bidi w:val="0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Для обеспечения надежности охлаждения необходимо предусмотреть запас производительности кондиционеров порядка 15%.</w:t>
      </w:r>
    </w:p>
    <w:sectPr>
      <w:type w:val="nextPage"/>
      <w:pgSz w:w="11906" w:h="16838"/>
      <w:pgMar w:left="1134" w:right="1134" w:gutter="0" w:header="0" w:top="1134" w:footer="0" w:bottom="67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470</TotalTime>
  <Application>AlterOffice/3.4.0.9$Linux_X86_64 LibreOffice_project/b8daf9e823b1a5463a2f48435ddc2e8696e7d4fc</Application>
  <AppVersion>15.0000</AppVersion>
  <Pages>1</Pages>
  <Words>75</Words>
  <Characters>478</Characters>
  <CharactersWithSpaces>510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2024-12-20T12:06:31Z</dcterms:created>
  <dc:creator>Омар Каримович Султанаев</dc:creator>
  <dc:description/>
  <dc:language>ru-RU</dc:language>
  <cp:lastModifiedBy>Омар Каримович Султанаев</cp:lastModifiedBy>
  <dcterms:modified xsi:type="dcterms:W3CDTF">2026-05-16T18:55:25Z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