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3.xml" ContentType="application/vnd.openxmlformats-officedocument.wordprocessingml.header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header17.xml" ContentType="application/vnd.openxmlformats-officedocument.wordprocessingml.header+xml"/>
  <Override PartName="/word/header16.xml" ContentType="application/vnd.openxmlformats-officedocument.wordprocessingml.header+xml"/>
  <Override PartName="/word/header3.xml" ContentType="application/vnd.openxmlformats-officedocument.wordprocessingml.header+xml"/>
  <Override PartName="/word/header18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media/image8.png" ContentType="image/png"/>
  <Override PartName="/word/media/image9.jpeg" ContentType="image/jpeg"/>
  <Override PartName="/word/media/image6.png" ContentType="image/png"/>
  <Override PartName="/word/media/image1.jpeg" ContentType="image/jpeg"/>
  <Override PartName="/word/media/image13.wmf" ContentType="image/x-wmf"/>
  <Override PartName="/word/media/image3.jpeg" ContentType="image/jpeg"/>
  <Override PartName="/word/media/image7.png" ContentType="image/png"/>
  <Override PartName="/word/media/image12.wmf" ContentType="image/x-wmf"/>
  <Override PartName="/word/media/image11.wmf" ContentType="image/x-wmf"/>
  <Override PartName="/word/media/image15.png" ContentType="image/png"/>
  <Override PartName="/word/media/image14.jpeg" ContentType="image/jpeg"/>
  <Override PartName="/word/media/image4.jpeg" ContentType="image/jpeg"/>
  <Override PartName="/word/media/image5.png" ContentType="image/png"/>
  <Override PartName="/word/media/image2.jpeg" ContentType="image/jpeg"/>
  <Override PartName="/word/media/image10.jpeg" ContentType="image/jpeg"/>
  <Override PartName="/word/header9.xml" ContentType="application/vnd.openxmlformats-officedocument.wordprocessingml.header+xml"/>
  <Override PartName="/word/header6.xml" ContentType="application/vnd.openxmlformats-officedocument.wordprocessingml.header+xml"/>
  <Override PartName="/word/header19.xml" ContentType="application/vnd.openxmlformats-officedocument.wordprocessingml.head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header12.xml" ContentType="application/vnd.openxmlformats-officedocument.wordprocessingml.header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15.xml" ContentType="application/vnd.openxmlformats-officedocument.wordprocessingml.head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hanging="0"/>
        <w:jc w:val="right"/>
        <w:rPr/>
      </w:pPr>
      <w:r>
        <w:rPr>
          <w:shd w:fill="auto" w:val="clear"/>
        </w:rPr>
        <w:t xml:space="preserve">Приложение </w:t>
      </w:r>
      <w:r>
        <w:rPr>
          <w:shd w:fill="auto" w:val="clear"/>
        </w:rPr>
        <w:t>4</w:t>
      </w:r>
      <w:r>
        <w:rPr>
          <w:shd w:fill="auto" w:val="clear"/>
        </w:rPr>
        <w:t xml:space="preserve"> к Техническим требованиям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Инструкция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пропускном и внутриобъектовом режимах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Филиале ПАО «РусГидро» </w:t>
      </w:r>
      <w:r>
        <w:rPr>
          <w:rFonts w:eastAsia="Times New Roman" w:cs="Times New Roman"/>
          <w:sz w:val="28"/>
          <w:szCs w:val="28"/>
        </w:rPr>
        <w:t>–</w:t>
      </w:r>
      <w:r>
        <w:rPr>
          <w:sz w:val="28"/>
          <w:szCs w:val="28"/>
        </w:rPr>
        <w:t xml:space="preserve"> «Дагестанский филиал»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rFonts w:eastAsia="Calibri"/>
          <w:b/>
          <w:sz w:val="22"/>
          <w:lang w:eastAsia="en-US"/>
        </w:rPr>
      </w:pPr>
      <w:r>
        <w:rPr/>
        <w:t>СОДЕРЖАНИЕ</w:t>
      </w:r>
      <w:r>
        <w:br w:type="page"/>
      </w:r>
    </w:p>
    <w:tbl>
      <w:tblPr>
        <w:tblW w:w="10123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55"/>
        <w:gridCol w:w="1244"/>
        <w:gridCol w:w="853"/>
        <w:gridCol w:w="6936"/>
        <w:gridCol w:w="438"/>
        <w:gridCol w:w="196"/>
      </w:tblGrid>
      <w:tr>
        <w:trPr>
          <w:trHeight w:val="42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pageBreakBefore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ГЛОССАРИЙ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………………………………………………………………………………………</w:t>
            </w:r>
            <w:r>
              <w:rPr>
                <w:rFonts w:eastAsia="Calibri"/>
                <w:b/>
                <w:sz w:val="22"/>
                <w:lang w:eastAsia="en-US"/>
              </w:rPr>
              <w:t>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5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</w:r>
          </w:p>
        </w:tc>
      </w:tr>
      <w:tr>
        <w:trPr>
          <w:trHeight w:val="269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ОБЩИЕ ПОЛОЖЕНИЯ……………………………………………………………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val="en-US" w:eastAsia="en-US"/>
              </w:rPr>
              <w:t>9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698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ЦЕЛЬ, НАЗНАЧЕНИЕ ПОЛОЖЕНИЯ И ПОРЯДОК ВНЕСЕНИЯ ИЗМЕНЕНИЙ…………………………………………………………………………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9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9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II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keepNext w:val="true"/>
              <w:keepLines/>
              <w:widowControl w:val="false"/>
              <w:numPr>
                <w:ilvl w:val="0"/>
                <w:numId w:val="0"/>
              </w:numPr>
              <w:ind w:left="0" w:hanging="0"/>
              <w:outlineLvl w:val="0"/>
              <w:rPr/>
            </w:pPr>
            <w:r>
              <w:rPr>
                <w:b/>
                <w:caps/>
                <w:sz w:val="22"/>
              </w:rPr>
              <w:t>Описание процесса</w:t>
            </w:r>
            <w:r>
              <w:rPr>
                <w:rFonts w:eastAsia="Calibri"/>
                <w:b/>
                <w:sz w:val="22"/>
                <w:lang w:eastAsia="en-US"/>
              </w:rPr>
              <w:t>……………………………………...…………………..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val="en-US" w:eastAsia="en-US"/>
              </w:rPr>
              <w:t>10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7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2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caps/>
              </w:rPr>
              <w:t>Цели, задачи и принципы Процесса</w:t>
            </w:r>
            <w:r>
              <w:rPr>
                <w:rFonts w:eastAsia="Calibri"/>
                <w:lang w:eastAsia="en-US"/>
              </w:rPr>
              <w:t xml:space="preserve"> …………………….............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114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3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4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aps/>
                <w:sz w:val="22"/>
                <w:szCs w:val="22"/>
              </w:rPr>
              <w:t>Состав процесса………………………………………………………………..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ТЕХНИЧЕСКИЕ СРЕДСТВА, ПОДДЕРЖИВАЮЩИЕ ФУНКЦИОНИРОВАНИЕ ПРОЦЕССА……………….............................................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  <w:t>10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11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1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III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КЛЮЧЕВЫЕ РОЛИ………………………………………………………………...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1</w:t>
            </w:r>
            <w:r>
              <w:rPr>
                <w:rFonts w:eastAsia="Calibri"/>
                <w:b/>
                <w:sz w:val="22"/>
                <w:lang w:val="en-US" w:eastAsia="en-US"/>
              </w:rPr>
              <w:t>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09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5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keepNext w:val="true"/>
              <w:keepLines/>
              <w:widowControl w:val="false"/>
              <w:numPr>
                <w:ilvl w:val="0"/>
                <w:numId w:val="0"/>
              </w:numPr>
              <w:tabs>
                <w:tab w:val="clear" w:pos="709"/>
                <w:tab w:val="left" w:pos="1843" w:leader="none"/>
                <w:tab w:val="left" w:pos="6147" w:leader="none"/>
              </w:tabs>
              <w:ind w:left="0" w:hanging="0"/>
              <w:outlineLvl w:val="1"/>
              <w:rPr/>
            </w:pPr>
            <w:r>
              <w:rPr>
                <w:caps/>
                <w:sz w:val="22"/>
                <w:szCs w:val="22"/>
              </w:rPr>
              <w:t>Группы участников …………………………………………………………...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1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730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IV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b/>
                <w:caps/>
                <w:sz w:val="22"/>
              </w:rPr>
              <w:t>подпроцессы организации пропускного и внутриобъектового режимов ………</w:t>
            </w:r>
            <w:r>
              <w:rPr>
                <w:rFonts w:eastAsia="Calibri"/>
                <w:b/>
                <w:sz w:val="22"/>
                <w:lang w:eastAsia="en-US"/>
              </w:rPr>
              <w:t>.....................................................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2"/>
                <w:lang w:eastAsia="en-US"/>
              </w:rPr>
            </w:pPr>
            <w:r>
              <w:rPr>
                <w:rFonts w:eastAsia="Calibri"/>
                <w:b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1</w:t>
            </w:r>
            <w:r>
              <w:rPr>
                <w:rFonts w:eastAsia="Calibri"/>
                <w:b/>
                <w:sz w:val="22"/>
                <w:lang w:val="en-US" w:eastAsia="en-US"/>
              </w:rPr>
              <w:t>3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840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caps/>
                <w:sz w:val="22"/>
                <w:szCs w:val="22"/>
              </w:rPr>
            </w:pPr>
            <w:r>
              <w:rPr>
                <w:caps/>
                <w:sz w:val="22"/>
                <w:szCs w:val="22"/>
              </w:rPr>
              <w:t>Глава 6</w:t>
            </w:r>
          </w:p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7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>
                <w:caps/>
                <w:sz w:val="22"/>
                <w:szCs w:val="22"/>
              </w:rPr>
            </w:pPr>
            <w:r>
              <w:rPr>
                <w:caps/>
                <w:sz w:val="22"/>
                <w:szCs w:val="22"/>
              </w:rPr>
              <w:t>Организация допуска на Объекты физических лиц……………..</w:t>
            </w:r>
          </w:p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Организация перемещения товарно-материальных ценностей</w:t>
            </w:r>
            <w:r>
              <w:rPr>
                <w:sz w:val="22"/>
                <w:szCs w:val="22"/>
              </w:rPr>
              <w:t>…………………………………………………………………………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3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lang w:val="en-US" w:eastAsia="en-US"/>
              </w:rPr>
            </w:pPr>
            <w:r>
              <w:rPr>
                <w:rFonts w:eastAsia="Calibri"/>
                <w:sz w:val="22"/>
                <w:lang w:val="en-US"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4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4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Глава</w:t>
            </w:r>
            <w:r>
              <w:rPr>
                <w:sz w:val="22"/>
                <w:szCs w:val="22"/>
              </w:rPr>
              <w:t xml:space="preserve"> 8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caps/>
                <w:sz w:val="22"/>
                <w:szCs w:val="22"/>
              </w:rPr>
              <w:t>Организация внутриобъектового режима…………………………..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5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85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9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ДОКУМЕНТЫ И ПЕРСОНАЛЬНЫЕ ИДЕНТИФИКАТОРЫ (ПРОКСИМИТИ-КАРТЫ), ПРЕДОСТАВЛЯЮЩИЕ ПРАВО ДОСТУПА НА ОБЪЕКТЫ 1 и 2……………………………….…………………………….….…..………………….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5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7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10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ЭЛЕКТРОННЫЕ ПРОПУСКА (ПРОКСИМИТИ-КАРТЫ) ………………………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6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74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11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ПОРЯДОК ОФОРМЛЕНИЯ ДОПУСКА, ВЫДАЧИ ЭЛЕКТРОННЫХ ПРОПУСКОВ (ПРОКИСМИТИ-КАРТ)…………………………………………….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1</w:t>
            </w:r>
            <w:r>
              <w:rPr>
                <w:rFonts w:eastAsia="Calibri"/>
                <w:sz w:val="22"/>
                <w:lang w:val="en-US" w:eastAsia="en-US"/>
              </w:rPr>
              <w:t>7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5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12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ДОПУСК ФИЗИЧЕСКИХ ЛИЦ…..………………………………………………….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20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72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13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ОСОБЕННОСТИ ДОПУСКА ИНОСТРАННЫХ ГРАЖДАН И ЛИЦ БЕЗ ГРАЖДАНСТВА……………………………………………………………...............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2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14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ОСОБЕННОСТИ ДОПУСКА ЛИЦ С ОРУЖИЕМ…………………………………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2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694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15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ПОРЯДОК ПРЕКРАЩЕНИЯ ДОПУСКА, СДАЧИ ВЫДАННЫХ ПРОПУСКОВ……………………………………………………………………...….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3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9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V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ДОПУСК НА ОБЪЕКТЫ АВТОТРАНСПОРТА………......................................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2</w:t>
            </w:r>
            <w:r>
              <w:rPr>
                <w:rFonts w:eastAsia="Calibri"/>
                <w:b/>
                <w:sz w:val="22"/>
                <w:lang w:val="en-US" w:eastAsia="en-US"/>
              </w:rPr>
              <w:t>4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32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16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ОФОРМЛЕНИЕ ДОПУСКА НА АВТОСТОЯНКУ АВТОТРАНСПОРТА............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4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66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VI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ПЕРЕМЕЩЕНИЕ ТОВАРНО-МАТЕРИАЛЬНЫХ ЦЕННОСТЕЙ…………..............................................................................................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2"/>
                <w:lang w:eastAsia="en-US"/>
              </w:rPr>
            </w:pPr>
            <w:r>
              <w:rPr>
                <w:rFonts w:eastAsia="Calibri"/>
                <w:b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2</w:t>
            </w:r>
            <w:r>
              <w:rPr>
                <w:rFonts w:eastAsia="Calibri"/>
                <w:b/>
                <w:sz w:val="22"/>
                <w:lang w:val="en-US" w:eastAsia="en-US"/>
              </w:rPr>
              <w:t>6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19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ГЛАВА 17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ПОРЯДОК ПЕРЕМЕЩЕНИЯ ТОВАРНО-МАТЕРИАЛЬНЫХ ЦЕННОСТЕЙ…..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eastAsia="en-US"/>
              </w:rPr>
              <w:t>2</w:t>
            </w:r>
            <w:r>
              <w:rPr>
                <w:rFonts w:eastAsia="Calibri"/>
                <w:sz w:val="22"/>
                <w:lang w:val="en-US" w:eastAsia="en-US"/>
              </w:rPr>
              <w:t>6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78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РАЗДЕЛ VII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eastAsia="en-US"/>
              </w:rPr>
              <w:t>ОРГАНИЗАЦИЯ ВНУТРИОБЪЕКТОВОГО РЕЖИМА…………...………….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b/>
                <w:sz w:val="22"/>
                <w:lang w:val="en-US" w:eastAsia="en-US"/>
              </w:rPr>
              <w:t>28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b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b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283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ГЛАВА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18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ОРГАНИЗАЦИЯ ВНУТРИОБЪЕКТОВОГО РЕЖИМА……………………....…...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28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585" w:hRule="exact"/>
        </w:trPr>
        <w:tc>
          <w:tcPr>
            <w:tcW w:w="169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ГЛАВА 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>19</w:t>
            </w:r>
          </w:p>
        </w:tc>
        <w:tc>
          <w:tcPr>
            <w:tcW w:w="7789" w:type="dxa"/>
            <w:gridSpan w:val="2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ОБЯЗАННОСТИ РАБОТНИКОВ ФИЛИАЛА ПО СОБЛЮДЕНИЮ ПРОПУСКНОГО И ВНУТРИОБЪЕКТОВОГО РЕЖИМОВ………………..……..</w:t>
            </w:r>
          </w:p>
        </w:tc>
        <w:tc>
          <w:tcPr>
            <w:tcW w:w="438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lang w:val="en-US" w:eastAsia="en-US"/>
              </w:rPr>
              <w:t>30</w:t>
            </w:r>
          </w:p>
        </w:tc>
        <w:tc>
          <w:tcPr>
            <w:tcW w:w="196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8"/>
                <w:szCs w:val="28"/>
                <w:lang w:val="en-US"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</w:r>
          </w:p>
        </w:tc>
      </w:tr>
      <w:tr>
        <w:trPr>
          <w:trHeight w:val="443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Style23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1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2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BodyTextIndent"/>
              <w:widowControl w:val="false"/>
              <w:tabs>
                <w:tab w:val="clear" w:pos="709"/>
                <w:tab w:val="left" w:pos="1080" w:leader="none"/>
                <w:tab w:val="left" w:pos="3425" w:leader="none"/>
              </w:tabs>
              <w:ind w:hanging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Порядок </w:t>
            </w:r>
            <w:r>
              <w:rPr>
                <w:sz w:val="22"/>
                <w:szCs w:val="22"/>
              </w:rPr>
              <w:t>поведения осмотра (досмотра) персонала (посетителей), транспортных средств, материальных ценностей и другого имущества на КПП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Образцы пропусков (проксимити-карты).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05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3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Заявки на оформление постоянных и временных электронных пропусков (проксимити-карт) на Объекты 1 и 2 работникам.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00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4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Заявки на оформление разовых электронных пропусков (проксимити-карт).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426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5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Список на доступ посетителей.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432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6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Заявка на изменение режима допуска.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08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7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Материальный пропуск на перемещение товарно-материальных ценностей.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1375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8</w:t>
            </w:r>
          </w:p>
        </w:tc>
        <w:tc>
          <w:tcPr>
            <w:tcW w:w="7570" w:type="dxa"/>
            <w:gridSpan w:val="3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</w:tcBorders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приема под охрану помещений, расположенных в режимном секторе;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учета приема и выдачи ключей;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проезжающих через Объекты автотранспорта и пассажиров;</w:t>
            </w:r>
          </w:p>
          <w:p>
            <w:pPr>
              <w:pStyle w:val="Normal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eastAsia="Calibri"/>
                <w:sz w:val="22"/>
                <w:szCs w:val="22"/>
                <w:shd w:fill="auto" w:val="clear"/>
                <w:lang w:eastAsia="en-US"/>
              </w:rPr>
              <w:t>Журнал учета выдачи / сдачи электронных пропусков, с отметкой об ознакомлении с Инструкцией;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Журнал учета посетителей.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714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9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Анкета на выдачу временных электронных пропусков.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>
          <w:trHeight w:val="426" w:hRule="atLeast"/>
        </w:trPr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10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Справка с места работы.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  <w:tr>
        <w:trPr/>
        <w:tc>
          <w:tcPr>
            <w:tcW w:w="455" w:type="dxa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</w:r>
          </w:p>
        </w:tc>
        <w:tc>
          <w:tcPr>
            <w:tcW w:w="2097" w:type="dxa"/>
            <w:gridSpan w:val="2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Приложение 11</w:t>
            </w:r>
          </w:p>
        </w:tc>
        <w:tc>
          <w:tcPr>
            <w:tcW w:w="7570" w:type="dxa"/>
            <w:gridSpan w:val="3"/>
            <w:tcBorders/>
            <w:shd w:color="auto"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napToGrid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Calibri"/>
                <w:sz w:val="22"/>
                <w:szCs w:val="22"/>
                <w:lang w:eastAsia="en-US"/>
              </w:rPr>
              <w:t>Акт вскрытия помещения.</w:t>
            </w:r>
          </w:p>
          <w:p>
            <w:pPr>
              <w:pStyle w:val="Normal"/>
              <w:widowControl w:val="false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</w:r>
          </w:p>
        </w:tc>
      </w:tr>
    </w:tbl>
    <w:p>
      <w:pPr>
        <w:pStyle w:val="Normal"/>
        <w:keepNext w:val="true"/>
        <w:numPr>
          <w:ilvl w:val="0"/>
          <w:numId w:val="0"/>
        </w:numPr>
        <w:ind w:left="0" w:hanging="0"/>
        <w:jc w:val="center"/>
        <w:outlineLvl w:val="0"/>
        <w:rPr>
          <w:b/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t>ГЛОССАРИЙ</w:t>
      </w:r>
    </w:p>
    <w:p>
      <w:pPr>
        <w:pStyle w:val="Normal"/>
        <w:jc w:val="both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t>Термины</w:t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Автостоянка</w:t>
      </w:r>
      <w:r>
        <w:rPr>
          <w:sz w:val="28"/>
          <w:szCs w:val="28"/>
        </w:rPr>
        <w:t xml:space="preserve"> – территория, принадлежащая Обществу на праве собственности или ином законном основании, предназначенная для стоянки автомашин служебного назначения, работников Филиала, третьих лиц.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Бюро пропусков</w:t>
      </w:r>
      <w:r>
        <w:rPr>
          <w:sz w:val="28"/>
          <w:szCs w:val="28"/>
        </w:rPr>
        <w:t xml:space="preserve"> – работник Службы безопасности, сотрудник охранного предприятия / </w:t>
      </w:r>
      <w:r>
        <w:rPr>
          <w:sz w:val="28"/>
          <w:szCs w:val="28"/>
          <w:shd w:fill="auto" w:val="clear"/>
        </w:rPr>
        <w:t>охранной организации</w:t>
      </w:r>
      <w:r>
        <w:rPr>
          <w:sz w:val="28"/>
          <w:szCs w:val="28"/>
        </w:rPr>
        <w:t xml:space="preserve"> в должностные обязанности которых входит оформление и выдача постоянных, временных, разовых электронных пропусков (проксимити-карт) и разовых пропусков на бумажном носителе для доступа на Объекты 1 и 2.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Внутриобъектовый режим</w:t>
      </w:r>
      <w:r>
        <w:rPr>
          <w:sz w:val="28"/>
          <w:szCs w:val="28"/>
        </w:rPr>
        <w:t xml:space="preserve"> – совокупность мер и правил, установленных локальными нормативными документами (актами) Общества, обязательными для выполнения лицами, находящимися на Объектах 1, 2</w:t>
      </w:r>
      <w:r>
        <w:rPr>
          <w:sz w:val="28"/>
          <w:szCs w:val="28"/>
          <w:shd w:fill="auto" w:val="clear"/>
        </w:rPr>
        <w:t xml:space="preserve"> и 3</w:t>
      </w:r>
      <w:r>
        <w:rPr>
          <w:sz w:val="28"/>
          <w:szCs w:val="28"/>
        </w:rPr>
        <w:t>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Гражданин Российской Федерации</w:t>
      </w:r>
      <w:r>
        <w:rPr>
          <w:sz w:val="28"/>
          <w:szCs w:val="28"/>
        </w:rPr>
        <w:t xml:space="preserve"> – лицо, имеющее гражданство Российской Федерации.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Иностранный гражданин</w:t>
      </w:r>
      <w:r>
        <w:rPr>
          <w:sz w:val="28"/>
          <w:szCs w:val="28"/>
        </w:rPr>
        <w:t xml:space="preserve"> – лицо, не являющееся гражданином Российской Федерации и имеющее документы, подтверждающие гражданство какого-либо иностранного государства.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Исполнительный аппарат Общества (ИА)</w:t>
      </w:r>
      <w:r>
        <w:rPr>
          <w:sz w:val="28"/>
          <w:szCs w:val="28"/>
        </w:rPr>
        <w:t xml:space="preserve"> – постоянно действующие исполнительные органы управления Общества, должностные лица и структурные подразделения Общества, не относящиеся к филиалам (представительствам) Общества</w:t>
      </w:r>
      <w:r>
        <w:rPr>
          <w:spacing w:val="-2"/>
          <w:sz w:val="28"/>
          <w:szCs w:val="28"/>
        </w:rPr>
        <w:t>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t>Защищаемые помещения</w:t>
      </w:r>
      <w:r>
        <w:rPr>
          <w:sz w:val="28"/>
          <w:szCs w:val="28"/>
        </w:rPr>
        <w:t xml:space="preserve"> – помещения (служебные кабинеты, актовые залы, конференц-залы, переговорные и т.п.), специально предназначенные для проведения конфиденциальных мероприятий (совещаний, обсуждений, конференций, переговоров и т.п.).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Здание</w:t>
      </w:r>
      <w:r>
        <w:rPr>
          <w:rFonts w:eastAsia="Arial Unicode MS"/>
          <w:sz w:val="28"/>
          <w:szCs w:val="28"/>
        </w:rPr>
        <w:t xml:space="preserve"> – результат строительства, представляющий объемную строительную систему, имеющую надземную и / или подземную части, включающие помещения, сети инженерно-технического обеспечения и системы (оборудование) инженерно-технического обеспечения.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Контрольно-пропускной пункт</w:t>
      </w:r>
      <w:r>
        <w:rPr>
          <w:sz w:val="28"/>
          <w:szCs w:val="28"/>
        </w:rPr>
        <w:t xml:space="preserve"> – специально оборудованное место, предназначенное для прохода работников Филиала, третьих лиц (в том числе, лиц, выполняющих работы по договору подряда) и проезда автомашин служебного назначения, работников Филиала, третьих лиц.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Лицо без гражданства</w:t>
      </w:r>
      <w:r>
        <w:rPr>
          <w:sz w:val="28"/>
          <w:szCs w:val="28"/>
        </w:rPr>
        <w:t xml:space="preserve"> – лицо, не являющееся гражданином Российской Федерации и не имеющее доказательства наличия гражданства иностранного государства.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Материальные пропуска</w:t>
      </w:r>
      <w:r>
        <w:rPr>
          <w:sz w:val="28"/>
          <w:szCs w:val="28"/>
        </w:rPr>
        <w:t xml:space="preserve"> – пропуска, разрешающие </w:t>
      </w:r>
      <w:r>
        <w:rPr>
          <w:sz w:val="28"/>
        </w:rPr>
        <w:t>вынос (внос) и вывоз (ввоз)</w:t>
      </w:r>
      <w:r>
        <w:rPr>
          <w:sz w:val="32"/>
          <w:szCs w:val="28"/>
        </w:rPr>
        <w:t xml:space="preserve"> </w:t>
      </w:r>
      <w:r>
        <w:rPr>
          <w:sz w:val="28"/>
          <w:szCs w:val="28"/>
        </w:rPr>
        <w:t>материальных ценностей Филиала.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b/>
          <w:sz w:val="28"/>
          <w:szCs w:val="28"/>
        </w:rPr>
        <w:t>Общество</w:t>
      </w:r>
      <w:r>
        <w:rPr>
          <w:sz w:val="28"/>
          <w:szCs w:val="28"/>
        </w:rPr>
        <w:t xml:space="preserve"> – ПАО «РусГидро».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Объект 1</w:t>
      </w:r>
      <w:r>
        <w:rPr>
          <w:rFonts w:eastAsia="Arial Unicode MS"/>
          <w:sz w:val="28"/>
          <w:szCs w:val="28"/>
        </w:rPr>
        <w:t xml:space="preserve"> – здание, расположенное по адресу: г. Каспийск, ул. М. Халилова, д. 5, которым Общество владеет и пользуется на правах собственности, территория, входящая в периметр Объекта 1.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Объект 2</w:t>
      </w:r>
      <w:r>
        <w:rPr>
          <w:rFonts w:eastAsia="Arial Unicode MS"/>
          <w:sz w:val="28"/>
          <w:szCs w:val="28"/>
        </w:rPr>
        <w:t xml:space="preserve"> – здания, объекты обособленных подразделений – ОП «Чиркейская ГЭС» (Чиркейская ГЭС), ОП «Ирганайская ГЭС» (Ирганайская ГЭС, Гоцатлинская ГЭС, Гунибская ГЭС, Гергебильская ГЭС), ОП «Каскад Сулакских ГЭС» (Миатлинская ГЭС, Чирюртская ГЭС-1, Чирюртская ГЭС-2, Гельбахская ГЭС, Башенная МГЭС), которым Общество владеет и пользуется на правах собственности и на основании договора аренды, территория, входящая в периметр Объекта 2.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rFonts w:eastAsia="Arial Unicode MS"/>
          <w:b/>
          <w:bCs w:val="false"/>
          <w:sz w:val="28"/>
          <w:szCs w:val="28"/>
          <w:shd w:fill="auto" w:val="clear"/>
        </w:rPr>
        <w:t>Объект 3</w:t>
      </w:r>
      <w:r>
        <w:rPr>
          <w:rFonts w:eastAsia="Arial Unicode MS"/>
          <w:b w:val="false"/>
          <w:bCs w:val="false"/>
          <w:sz w:val="28"/>
          <w:szCs w:val="28"/>
          <w:shd w:fill="auto" w:val="clear"/>
        </w:rPr>
        <w:t xml:space="preserve"> – склад гидросилового оборудования расположенный по адресу г. Кизилюрт, ул. Гагарина (промзона), которым Общество владеет и пользуется на правах собственности, территория, входящая в периметр Объекта 3.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Основной документ, удостоверяющий личность гражданина Российской Федерации</w:t>
      </w:r>
      <w:r>
        <w:rPr>
          <w:sz w:val="28"/>
          <w:szCs w:val="28"/>
        </w:rPr>
        <w:t xml:space="preserve"> – паспорт гражданина Российской Федерации.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Иные документы, удостоверяющие личность: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дипломатический паспорт гражданина Российской Федерации;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паспорт моряка (удостоверение личности гражданина, работающего на судах заграничного плавания или на иностранных судах;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удостоверение личности офицера, прапорщика, мичмана;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военный билет солдата (матроса, сержанта, старшины), проходящего военную службу по призыву или контракту;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временное удостоверение личности гражданина Российской Федерации по форме № 2П;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иностранный паспорт (заграничный паспорт для постоянно проживающего за границей иностранного гражданина, который временно находится на территории Российской Федерации);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 на жительство в Российской Федерации;</w:t>
      </w:r>
    </w:p>
    <w:p>
      <w:pPr>
        <w:pStyle w:val="Normal"/>
        <w:numPr>
          <w:ilvl w:val="0"/>
          <w:numId w:val="16"/>
        </w:numPr>
        <w:tabs>
          <w:tab w:val="clear" w:pos="709"/>
          <w:tab w:val="left" w:pos="993" w:leader="none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удостоверение беженца в Российской Федерации;</w:t>
      </w:r>
    </w:p>
    <w:p>
      <w:pPr>
        <w:pStyle w:val="Normal"/>
        <w:ind w:firstLine="851"/>
        <w:jc w:val="both"/>
        <w:rPr>
          <w:sz w:val="28"/>
        </w:rPr>
      </w:pPr>
      <w:r>
        <w:rPr>
          <w:sz w:val="28"/>
          <w:szCs w:val="28"/>
        </w:rPr>
        <w:t>- свидетельство о регистрации ходатайства иммигранта о признании его беженцем (для беженцев, не имеющих статуса беженца).</w:t>
      </w:r>
    </w:p>
    <w:p>
      <w:pPr>
        <w:pStyle w:val="Normal"/>
        <w:ind w:firstLine="851"/>
        <w:jc w:val="both"/>
        <w:rPr>
          <w:sz w:val="28"/>
        </w:rPr>
      </w:pPr>
      <w:r>
        <w:rPr>
          <w:b/>
          <w:sz w:val="28"/>
        </w:rPr>
        <w:t>Охранное предприятие</w:t>
      </w:r>
      <w:r>
        <w:rPr>
          <w:sz w:val="28"/>
        </w:rPr>
        <w:t xml:space="preserve"> – Отдел по Республике Дагестан ЦООТЭК (филиал) ФГУП «Охрана» Росгвардии </w:t>
      </w:r>
      <w:r>
        <w:rPr>
          <w:sz w:val="28"/>
          <w:szCs w:val="28"/>
        </w:rPr>
        <w:t>оказывающий услуги по охране Объектов 2 на основании договора, заключенного с Обществом.</w:t>
      </w:r>
    </w:p>
    <w:p>
      <w:pPr>
        <w:pStyle w:val="Normal"/>
        <w:ind w:firstLine="851"/>
        <w:jc w:val="both"/>
        <w:rPr>
          <w:bCs/>
          <w:sz w:val="28"/>
          <w:szCs w:val="28"/>
          <w:shd w:fill="FFFF00" w:val="clear"/>
        </w:rPr>
      </w:pPr>
      <w:r>
        <w:rPr>
          <w:b/>
          <w:sz w:val="28"/>
        </w:rPr>
        <w:t>Охранное учреждение</w:t>
      </w:r>
      <w:r>
        <w:rPr>
          <w:sz w:val="28"/>
        </w:rPr>
        <w:t xml:space="preserve"> – филиалы ФГКУ «УВО ВНГ России по Республике Дагестан» </w:t>
      </w:r>
      <w:r>
        <w:rPr>
          <w:sz w:val="28"/>
          <w:szCs w:val="28"/>
        </w:rPr>
        <w:t>оказывающие услуги по охране Объектов 2 на основании договоров, заключенных с Обществом</w:t>
      </w:r>
      <w:r>
        <w:rPr>
          <w:sz w:val="28"/>
        </w:rPr>
        <w:t>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b/>
          <w:bCs/>
          <w:sz w:val="28"/>
          <w:szCs w:val="28"/>
          <w:shd w:fill="auto" w:val="clear"/>
        </w:rPr>
        <w:t>Охранная организация</w:t>
      </w:r>
      <w:r>
        <w:rPr>
          <w:b w:val="false"/>
          <w:bCs w:val="false"/>
          <w:sz w:val="28"/>
          <w:szCs w:val="28"/>
          <w:shd w:fill="auto" w:val="clear"/>
        </w:rPr>
        <w:t xml:space="preserve"> – Частная охранная организация, имеющая лицензию на осуществление охранной деятельности, оказывающая услуги по охране Объектов 1 и 3 на основании договора, заключенного с Обществом.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Продолжительность рабочего дня</w:t>
      </w:r>
      <w:r>
        <w:rPr>
          <w:sz w:val="28"/>
          <w:szCs w:val="28"/>
        </w:rPr>
        <w:t xml:space="preserve"> – в соответствии с локальными нормативными документами (актами) Филиала для работников Филиала установлена с понедельника по четверг – с 08:00 до 17:00 в пятницу с 08:00 до 15:45.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отдельных работников Филиала (оперативная служба) может быть установлена иная продолжительность рабочего дня (иной режим работы) в порядке, предусмотренном трудовым законодательством Российской Федерации.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Проксимити-карта</w:t>
      </w:r>
      <w:r>
        <w:rPr>
          <w:sz w:val="28"/>
          <w:szCs w:val="28"/>
        </w:rPr>
        <w:t xml:space="preserve"> – специальная пластиковая электронная карта с индивидуальным идентификационным кодом, предназначенная для работы в системах контроля доступа с проксимити-считывателями.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Пропускной режим</w:t>
      </w:r>
      <w:r>
        <w:rPr>
          <w:sz w:val="28"/>
          <w:szCs w:val="28"/>
        </w:rPr>
        <w:t xml:space="preserve"> – комплекс организационно-правовых ограничений и правил, устанавливающих порядок доступа через контрольно-пропускные пункты работников Филиала, третьих лиц (в том числе, лиц, выполняющих работы по договору подряда, посетителей и работников организаций, ведущих свою деятельность на Объектах 1, 2 </w:t>
      </w:r>
      <w:r>
        <w:rPr>
          <w:sz w:val="28"/>
          <w:szCs w:val="28"/>
          <w:shd w:fill="auto" w:val="clear"/>
        </w:rPr>
        <w:t>и 3,</w:t>
      </w:r>
      <w:r>
        <w:rPr>
          <w:sz w:val="28"/>
          <w:szCs w:val="28"/>
        </w:rPr>
        <w:t xml:space="preserve"> вноса (выноса) и ввоза (вывоза) товарно-материальных ценностей.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Рабочий день</w:t>
      </w:r>
      <w:r>
        <w:rPr>
          <w:sz w:val="28"/>
          <w:szCs w:val="28"/>
        </w:rPr>
        <w:t xml:space="preserve"> – любой день недели (за исключением выходных и нерабочих праздничных дней, установленных законодательством Российской Федерации).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Режимный сектор</w:t>
      </w:r>
      <w:r>
        <w:rPr>
          <w:sz w:val="28"/>
          <w:szCs w:val="28"/>
        </w:rPr>
        <w:t xml:space="preserve"> – часть здания или прилегающей территории, на которых установлен особый порядок доступа физических лиц или автотранспорта.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Режимные помещения</w:t>
      </w:r>
      <w:r>
        <w:rPr>
          <w:sz w:val="28"/>
          <w:szCs w:val="28"/>
        </w:rPr>
        <w:t xml:space="preserve"> – помещения, в которых проводятся секретные работы и (или) хранятся в нерабочее время носители сведений, составляющих государственную тайну, и обеспечивается сохранность указанных сведений.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Ручная кладь</w:t>
      </w:r>
      <w:r>
        <w:rPr>
          <w:sz w:val="28"/>
          <w:szCs w:val="28"/>
        </w:rPr>
        <w:t xml:space="preserve"> – груз (личные вещи), к которым относятся небольшая сумка, рюкзак, чемодан</w:t>
      </w:r>
      <w:r>
        <w:rPr>
          <w:sz w:val="28"/>
          <w:szCs w:val="28"/>
          <w:shd w:fill="auto" w:val="clear"/>
        </w:rPr>
        <w:t xml:space="preserve"> и другие предметы</w:t>
      </w:r>
      <w:r>
        <w:rPr>
          <w:sz w:val="28"/>
          <w:szCs w:val="28"/>
        </w:rPr>
        <w:t xml:space="preserve"> который физическое лицо проносит с собой.</w:t>
      </w:r>
    </w:p>
    <w:p>
      <w:pPr>
        <w:pStyle w:val="Normal"/>
        <w:ind w:firstLine="851"/>
        <w:jc w:val="both"/>
        <w:rPr>
          <w:color w:val="2B2B2B"/>
          <w:sz w:val="28"/>
          <w:szCs w:val="28"/>
          <w:shd w:fill="FFFFFF" w:val="clear"/>
        </w:rPr>
      </w:pPr>
      <w:r>
        <w:rPr>
          <w:b/>
          <w:sz w:val="28"/>
          <w:szCs w:val="28"/>
        </w:rPr>
        <w:t>Служебные удостоверения</w:t>
      </w:r>
      <w:r>
        <w:rPr>
          <w:sz w:val="28"/>
          <w:szCs w:val="28"/>
        </w:rPr>
        <w:t xml:space="preserve"> – удостоверения установленного образца, выдаваемые представителям органов государственной власти Российской Федерации, в том числе МВД России, МЧС России, Росгвардии, ФСБ России, ФСО России, ГФС России, Прокуратуры Российской Федерации, СК России.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color w:val="2B2B2B"/>
          <w:sz w:val="28"/>
          <w:szCs w:val="28"/>
          <w:shd w:fill="FFFFFF" w:val="clear"/>
        </w:rPr>
        <w:t>Товарно-материальные ценности</w:t>
      </w:r>
      <w:r>
        <w:rPr>
          <w:color w:val="2B2B2B"/>
          <w:sz w:val="28"/>
          <w:szCs w:val="28"/>
          <w:shd w:fill="FFFFFF" w:val="clear"/>
        </w:rPr>
        <w:t xml:space="preserve"> </w:t>
      </w:r>
      <w:r>
        <w:rPr>
          <w:sz w:val="28"/>
          <w:szCs w:val="28"/>
        </w:rPr>
        <w:t>–</w:t>
      </w:r>
      <w:r>
        <w:rPr>
          <w:color w:val="2B2B2B"/>
          <w:sz w:val="28"/>
          <w:szCs w:val="28"/>
          <w:shd w:fill="FFFFFF" w:val="clear"/>
        </w:rPr>
        <w:t xml:space="preserve"> активы Общества, подрядных организаций Общества, имеющие вещественную форму: мебель, офисная техника, оргтехника, документация, офисные канцтовары и принадлежности, товары для общехозяйственных нужд и поддержания порядка.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Уполномоченные работники</w:t>
      </w:r>
      <w:r>
        <w:rPr>
          <w:sz w:val="28"/>
          <w:szCs w:val="28"/>
        </w:rPr>
        <w:t xml:space="preserve"> – работники </w:t>
      </w:r>
      <w:r>
        <w:rPr>
          <w:sz w:val="28"/>
          <w:szCs w:val="28"/>
          <w:shd w:fill="auto" w:val="clear"/>
        </w:rPr>
        <w:t xml:space="preserve">Службы безопасности Филиала, </w:t>
      </w:r>
      <w:r>
        <w:rPr>
          <w:b w:val="false"/>
          <w:bCs w:val="false"/>
          <w:sz w:val="28"/>
          <w:szCs w:val="28"/>
          <w:shd w:fill="auto" w:val="clear"/>
        </w:rPr>
        <w:t>сотрудники охранного предприятия / учреждения / охранной организации</w:t>
      </w:r>
      <w:r>
        <w:rPr>
          <w:sz w:val="28"/>
          <w:szCs w:val="28"/>
          <w:shd w:fill="auto" w:val="clear"/>
        </w:rPr>
        <w:t xml:space="preserve"> которые в соответствии с настоящей Инструкцией, локальными</w:t>
      </w:r>
      <w:r>
        <w:rPr>
          <w:sz w:val="28"/>
          <w:szCs w:val="28"/>
        </w:rPr>
        <w:t xml:space="preserve"> нормативными документами (актами) Общества и своими должностными инструкциями участвуют в организации и исполнении пропускного и внутриобъектового режимов на Объектах 1, 2 и 3.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Управляющая компания</w:t>
      </w:r>
      <w:r>
        <w:rPr>
          <w:sz w:val="28"/>
          <w:szCs w:val="28"/>
        </w:rPr>
        <w:t xml:space="preserve"> – организация, предоставляющая услуги по оперативному и техническому обслуживанию инженерных систем, аварийно-восстановительным работам на инженерных системах, ведению технической документации, а также уборке помещений и прилегающей территории, с предоставлением дежурного персонала, присутствующего на Объектах 1, 2 и 3.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Сокращения: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КТСО</w:t>
      </w:r>
      <w:r>
        <w:rPr>
          <w:sz w:val="28"/>
          <w:szCs w:val="28"/>
        </w:rPr>
        <w:t xml:space="preserve"> – комплекс технических средств охраны.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ЛНД (А)</w:t>
      </w:r>
      <w:r>
        <w:rPr>
          <w:sz w:val="28"/>
          <w:szCs w:val="28"/>
        </w:rPr>
        <w:t xml:space="preserve"> – локальные нормативные документы (акты).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СБ</w:t>
      </w:r>
      <w:r>
        <w:rPr>
          <w:sz w:val="28"/>
          <w:szCs w:val="28"/>
        </w:rPr>
        <w:t xml:space="preserve"> – Служба безопасности.</w:t>
      </w:r>
    </w:p>
    <w:p>
      <w:pPr>
        <w:pStyle w:val="Normal"/>
        <w:ind w:firstLine="851"/>
        <w:jc w:val="both"/>
        <w:rPr>
          <w:caps/>
          <w:sz w:val="28"/>
          <w:szCs w:val="28"/>
        </w:rPr>
      </w:pPr>
      <w:r>
        <w:rPr>
          <w:b/>
          <w:sz w:val="28"/>
          <w:szCs w:val="28"/>
        </w:rPr>
        <w:t>Филиал</w:t>
      </w:r>
      <w:r>
        <w:rPr>
          <w:sz w:val="28"/>
          <w:szCs w:val="28"/>
        </w:rPr>
        <w:t xml:space="preserve"> – Филиал «ПАО РусГидро» - «Дагестанский филиал».</w:t>
      </w:r>
      <w:r>
        <w:br w:type="page"/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0" w:leader="none"/>
        </w:tabs>
        <w:ind w:left="0" w:hanging="0"/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i</w:t>
      </w:r>
      <w:r>
        <w:rPr>
          <w:b/>
          <w:caps/>
          <w:sz w:val="28"/>
          <w:szCs w:val="28"/>
        </w:rPr>
        <w:t>. Обшее положение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276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1. Цель, назначение инструкции и порядок внесения изменений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276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Целью Инструкции является определение основных требований к процессу организации пропускного и внутриобъектового режимов на Объектах 1, </w:t>
      </w:r>
      <w:r>
        <w:rPr>
          <w:sz w:val="28"/>
          <w:szCs w:val="28"/>
          <w:shd w:fill="auto" w:val="clear"/>
        </w:rPr>
        <w:t>2 и 3.</w:t>
      </w:r>
    </w:p>
    <w:p>
      <w:pPr>
        <w:pStyle w:val="Normal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jc w:val="both"/>
        <w:rPr/>
      </w:pPr>
      <w:r>
        <w:rPr>
          <w:sz w:val="28"/>
        </w:rPr>
        <w:t xml:space="preserve"> </w:t>
      </w:r>
      <w:r>
        <w:rPr>
          <w:sz w:val="28"/>
        </w:rPr>
        <w:t>Инструкция основывается на нормативных правовых актах Российской Федерации, Уставе и других ЛНД (А) Общества.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Пропускной режим устанавливает порядок доступа на Объекты 1, 2</w:t>
      </w:r>
      <w:r>
        <w:rPr>
          <w:shd w:fill="auto" w:val="clear"/>
        </w:rPr>
        <w:t xml:space="preserve"> и 3 работников Филиала, лиц, выполняющих работы по гражданско-право</w:t>
      </w:r>
      <w:r>
        <w:rPr/>
        <w:t>вому договору, посетителей и работников организаций, ведущих деятельность на территории, автотранспорта, а также выноса (вноса) и вывоза (ввоза) материальных ценностей.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Внутриобъектовый режим определяет организационные и технические мероприятия и правила, направленные на обеспечение режима доступа в помещения, где сосредоточены денежные, материальные ценности, коммерческая и другая служебная документация. Внутриобъектовый режим обязателен для всех лиц, находящихся на Объектах 1, 2 и 3.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Организация пропускного и внутриобъектового режимов на Объектах 1, 2 и 3 возлагается на СБ.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Обеспечение установленного настоящей Инструкцией пропускного и внутриобъектового режимов на Объектах 1, 2 и 3 возлагается на охранное предприятие / учреждение / охранную организацию, осуществляющее деятельность на основании заключенных договоров.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Требования настоящей Инструкции являются обязательными для выполнения всеми работниками Филиала и лицами, выполняющими работы по договору подряда, посетителями и работниками организаций, ведущих деятельность на территории Объектов 1, 2 и 3 (в т.ч. сотрудниками охранного предприятия / учреждения / охранной организации).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Требования настоящей Инструкции, касающиеся функций директора Филиала, первого заместителя директора - главного инженера, заместителя директора по безопасности, начальника СБ, непосредственно на Объектах 2 исполняются техническими руководителями обособленных подразделений</w:t>
      </w:r>
      <w:r>
        <w:rPr>
          <w:rStyle w:val="FootnoteReference"/>
          <w:shd w:fill="auto" w:val="clear"/>
        </w:rPr>
        <w:footnoteReference w:id="2"/>
      </w:r>
      <w:r>
        <w:rPr>
          <w:shd w:fill="auto" w:val="clear"/>
        </w:rPr>
        <w:t xml:space="preserve"> (в их отсутствие - заместителями технических руководителей), руководителями групп СБ соответственно.</w:t>
      </w:r>
    </w:p>
    <w:p>
      <w:pPr>
        <w:pStyle w:val="BodyTextIndent"/>
        <w:numPr>
          <w:ilvl w:val="1"/>
          <w:numId w:val="17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Невыполнение требований Инструкции может служить основанием для аннулирования ранее выданных пропусков либо отказа в допуске на Объекты 1, 2 и 3.</w:t>
      </w:r>
    </w:p>
    <w:p>
      <w:pPr>
        <w:pStyle w:val="BodyTextIndent"/>
        <w:numPr>
          <w:ilvl w:val="1"/>
          <w:numId w:val="17"/>
        </w:numPr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Изменения в настоящей Инструкции вносятся приказом Директора Филиала.</w:t>
      </w:r>
    </w:p>
    <w:p>
      <w:pPr>
        <w:pStyle w:val="BodyTextIndent"/>
        <w:numPr>
          <w:ilvl w:val="0"/>
          <w:numId w:val="0"/>
        </w:numPr>
        <w:ind w:left="0" w:hanging="0"/>
        <w:jc w:val="center"/>
        <w:rPr>
          <w:sz w:val="24"/>
          <w:szCs w:val="24"/>
          <w:highlight w:val="none"/>
          <w:shd w:fill="auto" w:val="clear"/>
        </w:rPr>
      </w:pPr>
      <w:r>
        <w:rPr>
          <w:sz w:val="24"/>
          <w:szCs w:val="24"/>
          <w:shd w:fill="auto" w:val="clear"/>
        </w:rPr>
      </w:r>
      <w:r>
        <w:br w:type="page"/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0" w:leader="none"/>
        </w:tabs>
        <w:ind w:left="0" w:hanging="0"/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ii</w:t>
      </w:r>
      <w:r>
        <w:rPr>
          <w:b/>
          <w:caps/>
          <w:sz w:val="28"/>
          <w:szCs w:val="28"/>
        </w:rPr>
        <w:t>. Описание процесса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2. Цели, задачи и принципы процесса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 и исполнение пропускного и внутриобъектового режимов является частью деятельности Филиала по управлению безопасностью и режимом.</w:t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Целями Процесса является: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защита законных интересов Филиала, поддержание порядка внутреннего управления;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защита собственности Филиала, ее рациональное и эффективное использование;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внутренняя и внешняя стабильность Филиала;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защита коммерческих секретов и прав на интеллектуальную собственность.</w:t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Для достижения целей, указанных в пункте 2.2 Инструкции, Процесс решает следующие задачи: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санкционированного прохода работников Филиала, третьих лиц, а также ввоза (вывоза) имущества (вещей) и товарно-материальных ценностей;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предотвращение бесконтрольного проникновения и несанкционированного перемещения третьих лиц и автотранспорта на О</w:t>
      </w:r>
      <w:r>
        <w:rPr>
          <w:sz w:val="28"/>
          <w:szCs w:val="28"/>
          <w:shd w:fill="auto" w:val="clear"/>
        </w:rPr>
        <w:t>бъектах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своевременное выявление физических угроз интересам Филиала, а также потенциально опасных условий, способствующих нанесению Филиалу материального и репутационного ущерба;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пресечение посягательств на законные интересы Филиала, использование юридических, экономических, организационных, социально-психологических, технических и иных средств для выявления и ослабления источников угроз безопасности Филиала.</w:t>
      </w:r>
    </w:p>
    <w:p>
      <w:pPr>
        <w:pStyle w:val="Normal"/>
        <w:numPr>
          <w:ilvl w:val="1"/>
          <w:numId w:val="12"/>
        </w:numPr>
        <w:tabs>
          <w:tab w:val="clear" w:pos="709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>Результатом Процесса является;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допуск на Объекты 1, 2 и 3;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прекращение допуска на Объекты 1, 2 и 3.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bCs/>
          <w:shd w:fill="auto" w:val="clear"/>
        </w:rPr>
        <w:t>2.5. Процесс</w:t>
      </w:r>
      <w:r>
        <w:rPr>
          <w:rFonts w:eastAsia="Times New Roman"/>
          <w:shd w:fill="auto" w:val="clear"/>
        </w:rPr>
        <w:t xml:space="preserve"> </w:t>
      </w:r>
      <w:r>
        <w:rPr>
          <w:bCs/>
          <w:shd w:fill="auto" w:val="clear"/>
        </w:rPr>
        <w:t>строится на основании следующих основных принципов: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незамедлительное оперативное реагирование на угрозы;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проведение разумных мер безопасности.</w:t>
      </w:r>
    </w:p>
    <w:p>
      <w:pPr>
        <w:pStyle w:val="BodyTextIndent"/>
        <w:ind w:hanging="0"/>
        <w:jc w:val="center"/>
        <w:rPr>
          <w:bCs/>
          <w:sz w:val="24"/>
          <w:highlight w:val="none"/>
          <w:shd w:fill="auto" w:val="clear"/>
        </w:rPr>
      </w:pPr>
      <w:r>
        <w:rPr>
          <w:bCs/>
          <w:sz w:val="24"/>
          <w:shd w:fill="auto" w:val="clear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highlight w:val="none"/>
          <w:shd w:fill="auto" w:val="clear"/>
        </w:rPr>
      </w:pPr>
      <w:r>
        <w:rPr>
          <w:caps/>
          <w:sz w:val="28"/>
          <w:szCs w:val="28"/>
          <w:shd w:fill="auto" w:val="clear"/>
        </w:rPr>
        <w:t>ГЛАВА 3. Состав процесса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BodyTextIndent"/>
        <w:numPr>
          <w:ilvl w:val="1"/>
          <w:numId w:val="10"/>
        </w:numPr>
        <w:tabs>
          <w:tab w:val="clear" w:pos="709"/>
          <w:tab w:val="left" w:pos="1276" w:leader="none"/>
        </w:tabs>
        <w:ind w:left="0" w:firstLine="851"/>
        <w:rPr>
          <w:highlight w:val="none"/>
          <w:shd w:fill="auto" w:val="clear"/>
        </w:rPr>
      </w:pPr>
      <w:r>
        <w:rPr>
          <w:shd w:fill="auto" w:val="clear"/>
        </w:rPr>
        <w:t xml:space="preserve"> </w:t>
      </w:r>
      <w:r>
        <w:rPr>
          <w:shd w:fill="auto" w:val="clear"/>
        </w:rPr>
        <w:t>Процесс состоит из следующих подпроцессов: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допуск на Объекты 1, 2 и 3 физических лиц;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допуск на Объекты 1, 2 и 3 автотранспорта;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перемещение товарно-материальных ценностей;</w:t>
      </w:r>
    </w:p>
    <w:p>
      <w:pPr>
        <w:pStyle w:val="BodyTextIndent"/>
        <w:ind w:firstLine="851"/>
        <w:rPr>
          <w:highlight w:val="none"/>
          <w:shd w:fill="auto" w:val="clear"/>
        </w:rPr>
      </w:pPr>
      <w:r>
        <w:rPr>
          <w:shd w:fill="auto" w:val="clear"/>
        </w:rPr>
        <w:t>- организация внутриобъектового режима.</w:t>
      </w:r>
    </w:p>
    <w:p>
      <w:pPr>
        <w:pStyle w:val="BodyTextIndent"/>
        <w:ind w:firstLine="851"/>
        <w:rPr/>
      </w:pPr>
      <w:r>
        <w:rPr/>
        <w:t>3.2. Процесс начинается при возникновении необходимости допуска на Объекты 1, 2</w:t>
      </w:r>
      <w:r>
        <w:rPr>
          <w:shd w:fill="auto" w:val="clear"/>
        </w:rPr>
        <w:t xml:space="preserve"> или 3.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/>
      </w:pPr>
      <w:r>
        <w:rPr>
          <w:shd w:fill="auto" w:val="clear"/>
        </w:rPr>
        <w:t xml:space="preserve"> </w:t>
      </w:r>
      <w:r>
        <w:rPr/>
        <w:t>Входными данными Процесса являются: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заявка на выдачу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/>
      </w:pPr>
      <w:r>
        <w:rPr>
          <w:sz w:val="28"/>
          <w:szCs w:val="28"/>
        </w:rPr>
        <w:t>список посетителей на доступ.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Выходными данными Процесса являются: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выданные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прекращенные (закрытые)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прекращении (закрытии)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материалы служебной проверки о нарушениях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/>
      </w:pPr>
      <w:r>
        <w:rPr>
          <w:sz w:val="28"/>
          <w:szCs w:val="28"/>
        </w:rPr>
        <w:t>информация об обеспечении сопровождения посетителей, включая работников подрядных</w:t>
      </w:r>
      <w:r>
        <w:rPr/>
        <w:t xml:space="preserve"> </w:t>
      </w:r>
      <w:r>
        <w:rPr>
          <w:sz w:val="28"/>
          <w:szCs w:val="28"/>
        </w:rPr>
        <w:t>организаций, технического персонала.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Ответственным за выполнение Процесса является начальник СБ.</w:t>
      </w:r>
    </w:p>
    <w:p>
      <w:pPr>
        <w:pStyle w:val="BodyTextIndent"/>
        <w:numPr>
          <w:ilvl w:val="1"/>
          <w:numId w:val="14"/>
        </w:numPr>
        <w:tabs>
          <w:tab w:val="clear" w:pos="709"/>
          <w:tab w:val="left" w:pos="1276" w:leader="none"/>
        </w:tabs>
        <w:ind w:left="0" w:firstLine="851"/>
        <w:rPr>
          <w:caps/>
        </w:rPr>
      </w:pPr>
      <w:r>
        <w:rPr/>
        <w:t xml:space="preserve"> </w:t>
      </w:r>
      <w:r>
        <w:rPr/>
        <w:t>Ответственным за организацию Процесса для достижения целей, указанных в пункте 2.2 Инструкции, является заместитель директора по безопасности Филиала.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134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4. Технические</w:t>
      </w:r>
      <w:r>
        <w:rPr>
          <w:caps/>
          <w:sz w:val="28"/>
        </w:rPr>
        <w:t xml:space="preserve"> средства, поддерживающие функционирование процесса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070" w:leader="none"/>
          <w:tab w:val="left" w:pos="1134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BodyTextIndent"/>
        <w:numPr>
          <w:ilvl w:val="1"/>
          <w:numId w:val="23"/>
        </w:numPr>
        <w:tabs>
          <w:tab w:val="clear" w:pos="709"/>
          <w:tab w:val="left" w:pos="1276" w:leader="none"/>
        </w:tabs>
        <w:ind w:left="0" w:firstLine="851"/>
        <w:rPr/>
      </w:pPr>
      <w:r>
        <w:rPr/>
        <w:t xml:space="preserve"> </w:t>
      </w:r>
      <w:r>
        <w:rPr/>
        <w:t>Техническими средствами, поддерживающими функционирование Процесса, являются: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  <w:shd w:fill="FFFF00" w:val="clear"/>
        </w:rPr>
      </w:pPr>
      <w:r>
        <w:rPr>
          <w:sz w:val="28"/>
          <w:szCs w:val="28"/>
        </w:rPr>
        <w:t>КТСО;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/>
      </w:pPr>
      <w:r>
        <w:rPr>
          <w:sz w:val="28"/>
          <w:szCs w:val="28"/>
        </w:rPr>
        <w:t>корпоративная электронная почта ПАО «РусГидро»;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корпоративная система электронного документооборота ПАО «РусГидро»;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проводная телефонная связь.</w:t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III</w:t>
      </w:r>
      <w:r>
        <w:rPr>
          <w:b/>
          <w:caps/>
          <w:sz w:val="28"/>
          <w:szCs w:val="28"/>
        </w:rPr>
        <w:t>. ключевые роли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5. группы участников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3"/>
        </w:numPr>
        <w:tabs>
          <w:tab w:val="clear" w:pos="709"/>
          <w:tab w:val="left" w:pos="1276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Уполномоченные работники в Процессе выполняют следующие функции: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осуществляют сбор и обработку персональных данных в порядке, установленном ЛНД (А), а именно:</w:t>
      </w:r>
    </w:p>
    <w:p>
      <w:pPr>
        <w:pStyle w:val="Normal"/>
        <w:numPr>
          <w:ilvl w:val="0"/>
          <w:numId w:val="7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копирование оригиналов документов, содержащих персональные данные (например, паспорт, страховое свидетельство государственного пенсионного страхования и т.п.);</w:t>
      </w:r>
    </w:p>
    <w:p>
      <w:pPr>
        <w:pStyle w:val="Normal"/>
        <w:numPr>
          <w:ilvl w:val="0"/>
          <w:numId w:val="26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внесение сведений в учётные формы на бумажных носителях (далее – типовая форма);</w:t>
      </w:r>
    </w:p>
    <w:p>
      <w:pPr>
        <w:pStyle w:val="Normal"/>
        <w:numPr>
          <w:ilvl w:val="0"/>
          <w:numId w:val="20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внесение сведений в базы данных информационных систем персональных данных;</w:t>
      </w:r>
    </w:p>
    <w:p>
      <w:pPr>
        <w:pStyle w:val="Normal"/>
        <w:numPr>
          <w:ilvl w:val="0"/>
          <w:numId w:val="25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согласование или отклонение заявок на оформление постоянных, временных или разовых пропусков в соответствии с требованиями настоящей Ин</w:t>
      </w:r>
      <w:r>
        <w:rPr>
          <w:sz w:val="28"/>
          <w:szCs w:val="28"/>
          <w:shd w:fill="auto" w:val="clear"/>
        </w:rPr>
        <w:t>струкции;</w:t>
      </w:r>
    </w:p>
    <w:p>
      <w:pPr>
        <w:pStyle w:val="Normal"/>
        <w:numPr>
          <w:ilvl w:val="0"/>
          <w:numId w:val="5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установление прав допуска на Объекты 1, 2 и 3 в соответствии с требованиями настоящей Инструкции.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отказать в допуске на Объекты 1, 2 и 3 за нарушение требований, указанных в пунктах 12.18 и 15.7 Инструкции.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rFonts w:eastAsia="Calibri"/>
          <w:sz w:val="28"/>
          <w:szCs w:val="28"/>
          <w:shd w:fill="auto" w:val="clear"/>
          <w:lang w:eastAsia="en-US"/>
        </w:rPr>
        <w:t xml:space="preserve">5.2. Работники, организующие административную работу </w:t>
      </w:r>
      <w:r>
        <w:rPr>
          <w:rFonts w:eastAsia="Calibri"/>
          <w:color w:val="000000"/>
          <w:sz w:val="28"/>
          <w:szCs w:val="28"/>
          <w:shd w:fill="auto" w:val="clear"/>
          <w:lang w:eastAsia="en-US"/>
        </w:rPr>
        <w:t>руководства Филиала (секретарь руководителя),</w:t>
      </w:r>
      <w:r>
        <w:rPr>
          <w:sz w:val="28"/>
          <w:szCs w:val="28"/>
          <w:shd w:fill="auto" w:val="clear"/>
        </w:rPr>
        <w:t xml:space="preserve"> выполняют следующую функцию</w:t>
      </w:r>
      <w:r>
        <w:rPr>
          <w:rFonts w:eastAsia="Calibri"/>
          <w:color w:val="000000"/>
          <w:sz w:val="28"/>
          <w:szCs w:val="28"/>
          <w:shd w:fill="auto" w:val="clear"/>
          <w:lang w:eastAsia="en-US"/>
        </w:rPr>
        <w:t>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rFonts w:eastAsia="Calibri"/>
          <w:color w:val="000000"/>
          <w:sz w:val="28"/>
          <w:szCs w:val="28"/>
          <w:shd w:fill="auto" w:val="clear"/>
          <w:lang w:eastAsia="en-US"/>
        </w:rPr>
        <w:t xml:space="preserve">по их поручению </w:t>
      </w:r>
      <w:r>
        <w:rPr>
          <w:sz w:val="28"/>
          <w:szCs w:val="28"/>
          <w:shd w:fill="auto" w:val="clear"/>
        </w:rPr>
        <w:t>подают заявки на разовые пропуска для посетителей Объектов 1, 2 и 3, в том числе по телефону.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несут ответственность за: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необоснованность, несвоевременность и недостоверность предоставленных сведений.</w:t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5.3. Руководители структурных подразделений Филиала в Процессе выполняют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разовые пропуска для посетителей Объектов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временные и постоянные пропуска работникам Филиала;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временные пропуска лицам, выполняющим работы и / или оказывающим услуги на Объектах 1, 2 и 3 в соответствии с гражданско-правовыми договорами в интересах Филиала;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заявки на изменение режима допуска на Объекты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оформляют товарно-материальные пропуска;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подают списки на допуск автотранспорта;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предоставляют в СБ информацию о прекращении договорных отношений с лицами, получившими временный допуск на Объекты 1, 2 и 3.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несут ответственность за:</w:t>
      </w:r>
    </w:p>
    <w:p>
      <w:pPr>
        <w:pStyle w:val="Normal"/>
        <w:tabs>
          <w:tab w:val="clear" w:pos="709"/>
          <w:tab w:val="left" w:pos="0" w:leader="none"/>
        </w:tabs>
        <w:spacing w:before="0" w:after="0"/>
        <w:ind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 необоснованность, несвоевременность и недостоверность предоставленных сведений.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5.4. СБ в Процессе выполняет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согласовывает списки / заявки на выдачу разовых, временных и постоянных пропусков, списков посетителей на Объекты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согласовывает заявки на изменение режима допуска;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согласовывает допуск автотранспорта на Объекты 1, 2 и 3;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составляет перечень режимных секторов и лиц, ответственных за их сдачу (вскрытие) под охрану;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проводят постоянный контроль выполнения требований данной Инструкции работниками Филиала, посетителями, работниками организаций, выполняющих работы по гражданско-правовому договору, оказания услуг Филиалу сотрудниками охранных предприятий / учреждений / организаций.</w:t>
      </w:r>
    </w:p>
    <w:p>
      <w:pPr>
        <w:pStyle w:val="Normal"/>
        <w:numPr>
          <w:ilvl w:val="1"/>
          <w:numId w:val="19"/>
        </w:numPr>
        <w:tabs>
          <w:tab w:val="clear" w:pos="709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>Бюро пропусков выполняет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оформляет и выдает постоянные, временные, разовые электронные пропуска и пропуска на бумажном носителе на Объекты 1, 2 и 3 для работников и посетителей Филиала.</w:t>
      </w:r>
    </w:p>
    <w:p>
      <w:pPr>
        <w:pStyle w:val="Normal"/>
        <w:numPr>
          <w:ilvl w:val="1"/>
          <w:numId w:val="8"/>
        </w:numPr>
        <w:tabs>
          <w:tab w:val="clear" w:pos="709"/>
          <w:tab w:val="left" w:pos="1276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 </w:t>
      </w:r>
      <w:r>
        <w:rPr>
          <w:sz w:val="28"/>
          <w:szCs w:val="28"/>
          <w:shd w:fill="auto" w:val="clear"/>
        </w:rPr>
        <w:t>Сотрудники охранного предприятия / учреждения / охранной организации в Процессе осуществляют следующие функции: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обеспечивают допуск на Объекты 1, 2 и 3 физических лиц и автотранспорта в соответствии с требованиями настоящей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контролируют перемещение товарно-материальных ценностей Филиала в / из Объектов 1, 2 и 3 в соответствии с требованиями настоящей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осуществляют соблюдение пропускного и внутриобъектового режимов, в соответствии с требованиями настоящей Инструкции;</w:t>
      </w:r>
    </w:p>
    <w:p>
      <w:pPr>
        <w:pStyle w:val="Normal"/>
        <w:numPr>
          <w:ilvl w:val="0"/>
          <w:numId w:val="24"/>
        </w:numPr>
        <w:tabs>
          <w:tab w:val="clear" w:pos="709"/>
          <w:tab w:val="left" w:pos="993" w:leader="none"/>
        </w:tabs>
        <w:ind w:left="0"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выдают разовые (электронные / бумажные) пропуска для допуска на Объекты 1, 2</w:t>
      </w:r>
      <w:r>
        <w:rPr>
          <w:rStyle w:val="FootnoteReference"/>
          <w:sz w:val="28"/>
          <w:szCs w:val="28"/>
          <w:shd w:fill="auto" w:val="clear"/>
        </w:rPr>
        <w:footnoteReference w:id="3"/>
      </w:r>
      <w:r>
        <w:rPr>
          <w:sz w:val="28"/>
          <w:szCs w:val="28"/>
          <w:shd w:fill="auto" w:val="clear"/>
        </w:rPr>
        <w:t xml:space="preserve"> и 3.</w:t>
      </w:r>
    </w:p>
    <w:p>
      <w:pPr>
        <w:pStyle w:val="Normal"/>
        <w:tabs>
          <w:tab w:val="clear" w:pos="709"/>
          <w:tab w:val="left" w:pos="993" w:leader="none"/>
        </w:tabs>
        <w:jc w:val="center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0"/>
        <w:rPr>
          <w:highlight w:val="none"/>
          <w:shd w:fill="auto" w:val="clear"/>
        </w:rPr>
      </w:pPr>
      <w:r>
        <w:rPr>
          <w:b/>
          <w:caps/>
          <w:sz w:val="28"/>
          <w:szCs w:val="28"/>
          <w:shd w:fill="auto" w:val="clear"/>
        </w:rPr>
        <w:t xml:space="preserve">Раздел </w:t>
      </w:r>
      <w:r>
        <w:rPr>
          <w:b/>
          <w:caps/>
          <w:sz w:val="28"/>
          <w:szCs w:val="28"/>
          <w:shd w:fill="auto" w:val="clear"/>
          <w:lang w:val="en-US"/>
        </w:rPr>
        <w:t>iv</w:t>
      </w:r>
      <w:r>
        <w:rPr>
          <w:b/>
          <w:caps/>
          <w:sz w:val="28"/>
          <w:szCs w:val="28"/>
          <w:shd w:fill="auto" w:val="clear"/>
        </w:rPr>
        <w:t>. подпроцессы организации пропускного и внутриобъектового режимов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hanging="0"/>
        <w:jc w:val="both"/>
        <w:outlineLvl w:val="1"/>
        <w:rPr>
          <w:highlight w:val="none"/>
          <w:shd w:fill="auto" w:val="clear"/>
        </w:rPr>
      </w:pPr>
      <w:r>
        <w:rPr>
          <w:caps/>
          <w:sz w:val="28"/>
          <w:szCs w:val="28"/>
          <w:shd w:fill="auto" w:val="clear"/>
        </w:rPr>
        <w:t>ГЛАВА 6. организация допуска на объекты 1, 2 и 3 физических лиц.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hanging="0"/>
        <w:jc w:val="center"/>
        <w:outlineLvl w:val="1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6.1. Целью подпроцесса организации допуска на Объекты 1, 2 и 3 физических лиц является обеспечение санкционированного доступа на Объекты 1, 2 и 3 физических лиц.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6.2.</w:t>
        <w:tab/>
        <w:t xml:space="preserve"> Для достижения цели организации допуска на Объекты 1, 2 и 3 физических лиц решаются следующие задачи: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сбор информации для оформления и выдачи пропусков для физических лиц и их допуска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оформление пропусков, допуск / прекращение допуска на Объекты 1, 2 и 3.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6.3.</w:t>
        <w:tab/>
        <w:t xml:space="preserve"> Подпроцесс организации допуска на Объекты 1, 2 и 3 физических лиц состоит из следующих этапов: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оформление допуска, выдача электронных пропусков (проксимити-карт);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допуск на Объекты 1, 2 и 3 физических лиц;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прекращение допуска на Объекты 1, 2 и 3 физических лиц.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6.4.</w:t>
        <w:tab/>
        <w:t xml:space="preserve"> Подпроцесс организации допуска на Объекты 1, 2 и 3 физических лиц начинается при наличии информации о необходимости прохода на Объекты 1, 2 и 3.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6.5.</w:t>
        <w:tab/>
        <w:t xml:space="preserve"> Входными данными подпроцесса организации допуска на Объекты 1, 2 и 3 физических лиц является: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информация о необходимости прохода на Объекты 1, 2 и 3 физических лиц, представленная в СБ не позднее 5 (пяти) рабочих дней до планируемой даты посещения (начала оказания услуг / выполнения работ).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6.6. Результатом подпроцесса организации допуска на Объекты 1, 2 и 3 физических лиц является: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организация допуска физических лиц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прекращение допуска физических лиц на Объекты 1, 2 и 3.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6.7. Выходными данными подпроцесса организации допуска на Объекты 1, 2 и 3 физических лиц являются: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</w:t>
        <w:tab/>
        <w:t>информация об организации допуска физических лиц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информация о прекращении допуска физических лиц на Объекты 1, 2 и 3;</w:t>
      </w:r>
    </w:p>
    <w:p>
      <w:pPr>
        <w:pStyle w:val="Normal"/>
        <w:numPr>
          <w:ilvl w:val="2"/>
          <w:numId w:val="22"/>
        </w:numPr>
        <w:tabs>
          <w:tab w:val="clear" w:pos="709"/>
          <w:tab w:val="left" w:pos="993" w:leader="none"/>
        </w:tabs>
        <w:spacing w:before="0" w:after="0"/>
        <w:ind w:left="0" w:firstLine="851"/>
        <w:contextualSpacing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информация о выданных электронных пропусках (проксимити-картах) физическим лицам и прекращенных (закрытых) пропусках на Объекты 1 и 2.</w:t>
      </w:r>
    </w:p>
    <w:p>
      <w:pPr>
        <w:pStyle w:val="Normal"/>
        <w:jc w:val="center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jc w:val="both"/>
        <w:rPr>
          <w:highlight w:val="none"/>
          <w:shd w:fill="auto" w:val="clear"/>
        </w:rPr>
      </w:pPr>
      <w:r>
        <w:rPr>
          <w:caps/>
          <w:sz w:val="28"/>
          <w:szCs w:val="28"/>
          <w:shd w:fill="auto" w:val="clear"/>
        </w:rPr>
        <w:t>глава 7. ОРГАНИЗАЦИЯ перемещения товарно-материальных ценностей.</w:t>
      </w:r>
    </w:p>
    <w:p>
      <w:pPr>
        <w:pStyle w:val="Normal"/>
        <w:jc w:val="center"/>
        <w:rPr>
          <w:caps/>
          <w:szCs w:val="28"/>
          <w:highlight w:val="none"/>
          <w:shd w:fill="auto" w:val="clear"/>
        </w:rPr>
      </w:pPr>
      <w:r>
        <w:rPr>
          <w:caps/>
          <w:szCs w:val="28"/>
          <w:shd w:fill="auto" w:val="clear"/>
        </w:rPr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7.1. Целью подпроцесса организации перемещения товарно-материальных ценностей является обеспечение санкционированного перемещения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7.2.</w:t>
        <w:tab/>
        <w:t xml:space="preserve"> Для достижения цели организации перемещения товарно-материальных ценностей решаются следующие задачи: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</w:t>
        <w:tab/>
        <w:t>сбор информации для оформления материальных пропусков.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7.3.</w:t>
        <w:tab/>
        <w:t xml:space="preserve"> Подпроцесс организации перемещения товарно-материальных ценностей состоит из следующих этапов: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-</w:t>
        <w:tab/>
        <w:t>оформление материального пропуска;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-</w:t>
        <w:tab/>
        <w:t>перемещение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7.4.</w:t>
        <w:tab/>
        <w:t xml:space="preserve"> Подпроцесс организации перемещения товарно-материальных ценностей начинается при наличии информации о выносе товарно-материальных ценностей, указанных в материальном пропуске.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7.5.</w:t>
        <w:tab/>
        <w:t xml:space="preserve"> Входными данными подпроцесса организации перемещения товарно-материальных ценностей являются: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информация о необходимости перемещения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7.6.</w:t>
        <w:tab/>
        <w:t xml:space="preserve"> Результатом подпроцесса организации перемещения товарно-материальных ценностей является: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выданный пропуск на перемещение товарно-материальных ценностей.</w:t>
      </w:r>
    </w:p>
    <w:p>
      <w:pPr>
        <w:pStyle w:val="Normal"/>
        <w:tabs>
          <w:tab w:val="clear" w:pos="709"/>
          <w:tab w:val="left" w:pos="1276" w:leader="none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7.7. Выходными данными подпроцесса организации перемещения товарно-материальных ценностей являются: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-</w:t>
        <w:tab/>
        <w:t>информация о выданных материальных пропусках.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bookmarkStart w:id="0" w:name="_Hlk90293659"/>
      <w:r>
        <w:rPr>
          <w:caps/>
          <w:sz w:val="28"/>
          <w:szCs w:val="28"/>
        </w:rPr>
        <w:t>глава 8. Организация внутриобъектового режима.</w:t>
      </w:r>
      <w:bookmarkEnd w:id="0"/>
    </w:p>
    <w:p>
      <w:pPr>
        <w:pStyle w:val="Normal"/>
        <w:jc w:val="center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8.1.</w:t>
        <w:tab/>
        <w:t xml:space="preserve"> Целью подпроцесса организация внутриобъектового режима является обеспечение контроля за соблюдением правил нахождения лиц на Объектах.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8.2. Для достижения цели организации внутриобъектового режима решаются следующие задачи: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сбор информации для оформления пропусков (оформление, выдача) для физических лиц;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оформление пропусков, допуск на Объект, прекращение допуска на Объект.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8.3.</w:t>
        <w:tab/>
        <w:t xml:space="preserve"> Подпроцесс организации внутриобъектового режима состоит из следующих этапов: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осуществление технического обслуживания и уборки помещений, закрытия и вскрытия помещений, осмотра помещений.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8.4.</w:t>
        <w:tab/>
        <w:t xml:space="preserve"> Подпроцесс организации внутриобъектового режима начинается при наличии информации о необходимости сопровождения.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8.5.</w:t>
        <w:tab/>
        <w:t xml:space="preserve"> Входными данными подпроцесса организации внутриобъектового режима является: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информация для формирования заявки на сопровождение.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8.6.</w:t>
        <w:tab/>
        <w:t xml:space="preserve"> Результатом подпроцесса организации внутриобъектового режима является:</w:t>
      </w:r>
    </w:p>
    <w:p>
      <w:pPr>
        <w:pStyle w:val="Normal"/>
        <w:tabs>
          <w:tab w:val="clear" w:pos="709"/>
          <w:tab w:val="left" w:pos="1134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закрытие заявки на сопровождение.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8.7.</w:t>
        <w:tab/>
        <w:t xml:space="preserve"> Выходными данными подпроцесса организации внутриобъектового режима являются: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закрытая заявка.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9. Документы и персональные идентификаторы (проксимити-карты), предоставляющие право доступа на Объекты 1, 2 и 3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9.1.</w:t>
        <w:tab/>
        <w:t xml:space="preserve"> Документами и персональными идентификаторами, предоставляющими право доступа на Объекты 1, 2</w:t>
      </w:r>
      <w:r>
        <w:rPr>
          <w:sz w:val="28"/>
          <w:szCs w:val="28"/>
          <w:shd w:fill="auto" w:val="clear"/>
        </w:rPr>
        <w:t xml:space="preserve"> и 3 работникам Филиала и гостям являются:</w:t>
      </w:r>
    </w:p>
    <w:p>
      <w:pPr>
        <w:pStyle w:val="Normal"/>
        <w:tabs>
          <w:tab w:val="clear" w:pos="709"/>
          <w:tab w:val="left" w:pos="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удостоверение работника Филиала (приложение 2 к Инструкции);</w:t>
      </w:r>
    </w:p>
    <w:p>
      <w:pPr>
        <w:pStyle w:val="Normal"/>
        <w:tabs>
          <w:tab w:val="clear" w:pos="709"/>
          <w:tab w:val="left" w:pos="1134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список посетителей установленного образца (приложение 5 к Инструкции);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разовый пропуск установленного образца (приложение 2.4 к Инструкции), в случае невозможности выдачи разового электронного пропуска или использования КТСО</w:t>
      </w:r>
      <w:r>
        <w:rPr>
          <w:rStyle w:val="FootnoteReference"/>
        </w:rPr>
        <w:footnoteReference w:id="4"/>
      </w:r>
      <w:r>
        <w:rPr>
          <w:sz w:val="28"/>
          <w:szCs w:val="28"/>
        </w:rPr>
        <w:t>;</w:t>
      </w:r>
    </w:p>
    <w:p>
      <w:pPr>
        <w:pStyle w:val="Normal"/>
        <w:tabs>
          <w:tab w:val="clear" w:pos="709"/>
          <w:tab w:val="left" w:pos="993" w:leader="none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электронные пропуска (проксимити-карты: постоянные, временные и разовые) установленного образца (приложения 2.1, 2.2 и 2.3 к Инструкции).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9.2.</w:t>
        <w:tab/>
        <w:t xml:space="preserve"> Документами, являющимися основанием для выдачи пропусков и допуска на Объекты 1, 2</w:t>
      </w:r>
      <w:r>
        <w:rPr>
          <w:sz w:val="28"/>
          <w:szCs w:val="28"/>
          <w:shd w:fill="auto" w:val="clear"/>
        </w:rPr>
        <w:t xml:space="preserve"> и 3</w:t>
      </w:r>
      <w:r>
        <w:rPr>
          <w:sz w:val="28"/>
          <w:szCs w:val="28"/>
        </w:rPr>
        <w:t xml:space="preserve"> гражданам Российской Федерации, являются: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паспорт гражданина Российской Федерации;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временное удостоверение личности гражданина Российской Федерации (форма № 2П);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удостоверение личности военнослужащего.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Иные документы, являющиеся основанием для выдачи пропусков и допуска на объекты Общества граждан Российской Федерации: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заграничный паспорт гражданина Российской Федерации;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дипломатический паспорт гражданина РФ;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служебный паспорт гражданина Российской Федерации;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служебное удостоверение.</w:t>
      </w:r>
    </w:p>
    <w:p>
      <w:pPr>
        <w:pStyle w:val="Normal"/>
        <w:tabs>
          <w:tab w:val="clear" w:pos="709"/>
          <w:tab w:val="left" w:pos="1276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9.3.</w:t>
        <w:tab/>
        <w:t xml:space="preserve"> Документами, являющимися основанием для выдачи пропусков и допуска на объекты Филиала иностранным гражданам и лицам без гражданства: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паспорт иностранного гражданина;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разрешение на временное проживание;</w:t>
      </w:r>
    </w:p>
    <w:p>
      <w:pPr>
        <w:pStyle w:val="Normal"/>
        <w:tabs>
          <w:tab w:val="clear" w:pos="709"/>
          <w:tab w:val="left" w:pos="99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  <w:tab/>
        <w:t>вид на жительство.</w:t>
      </w:r>
    </w:p>
    <w:p>
      <w:pPr>
        <w:pStyle w:val="Normal"/>
        <w:tabs>
          <w:tab w:val="clear" w:pos="709"/>
          <w:tab w:val="left" w:pos="1134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10. Электронные пропуска (ПРОКСИМИТИ-КАРТЫ)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10.1. Электронные пропуска (проксимити-карты) выдаются для </w:t>
      </w:r>
      <w:r>
        <w:rPr>
          <w:sz w:val="28"/>
          <w:szCs w:val="28"/>
          <w:shd w:fill="auto" w:val="clear"/>
        </w:rPr>
        <w:t xml:space="preserve">обеспечения доступа на Объекты 1 и 2 через проходы, оборудованные техническими средствами контроля, </w:t>
      </w:r>
      <w:r>
        <w:rPr>
          <w:color w:val="000000"/>
          <w:sz w:val="28"/>
          <w:szCs w:val="28"/>
          <w:shd w:fill="auto" w:val="clear"/>
        </w:rPr>
        <w:t>после регистрации в журнале учета выдачи / сдачи электронных пропусков (приложение 8.4 к Инструкции)</w:t>
      </w:r>
      <w:r>
        <w:rPr>
          <w:sz w:val="28"/>
          <w:szCs w:val="28"/>
          <w:shd w:fill="auto" w:val="clear"/>
        </w:rPr>
        <w:t>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  <w:shd w:fill="auto" w:val="clear"/>
        </w:rPr>
        <w:t>10.2. Постоянные электронные пропуска (приложение 2.1 к Инструкции) выдаются работникам Филиала, оформленным на работу по трудовому договору, заключенному на неопределенный срок (после прохождения ими испытательного срока), предоставляют право</w:t>
      </w:r>
      <w:r>
        <w:rPr>
          <w:sz w:val="28"/>
          <w:szCs w:val="28"/>
        </w:rPr>
        <w:t xml:space="preserve"> доступа на Объекты 1 и 2 в рабочие дни, могут предоставлять дополнительные права доступа на Объекты 1 и 2 круглосуточно в рабочие, выходные и нерабочие праздничные дни, а также в режимные секторы.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10.3. Временные электронные пропуска, (приложение 2.2 к Инструкции) выдаются: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10.3.1. Для доступа на Объекты 1 и 2:</w:t>
      </w:r>
    </w:p>
    <w:p>
      <w:pPr>
        <w:pStyle w:val="Normal"/>
        <w:numPr>
          <w:ilvl w:val="0"/>
          <w:numId w:val="9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работникам Филиала, оформленным на работу по трудовому договору, заключенному на неопределенный (до прохождения ими испытательного срока) и определенный срок (срочный трудовой договор);</w:t>
      </w:r>
    </w:p>
    <w:p>
      <w:pPr>
        <w:pStyle w:val="Normal"/>
        <w:numPr>
          <w:ilvl w:val="0"/>
          <w:numId w:val="9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лицам, выполняющим работы и / или оказывающим услуги на Объектах 1 и 2 в соответствии с гражданско-правовыми договорами.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10.4.</w:t>
        <w:tab/>
        <w:t xml:space="preserve"> Временные электронные пропуска предоставляют право доступа в рабочие дни, а также могут предоставлять дополнительные права доступа на Объекты 1 и 2 круглосуточно в рабочие, выходные и нерабочие праздничные дни.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10.5. Разовые электронные пропуска (приложение 2.3 к Инструкции) предоставляют право на однократное посещение Объекта 1 или 2 в рабочие дни с 8:00 до 17:00.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10.6.</w:t>
        <w:tab/>
        <w:t xml:space="preserve"> При убытии с Объекта 1 или 2 разовый пропуск подлежит сдаче в Бюро пропусков, при выходе из соответствующего Объекта.</w:t>
      </w:r>
    </w:p>
    <w:p>
      <w:pPr>
        <w:pStyle w:val="Normal"/>
        <w:tabs>
          <w:tab w:val="clear" w:pos="709"/>
          <w:tab w:val="left" w:pos="1560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11. ПОРЯДОК оформления допуска, ВЫДАЧИ ЭЛЕКТРОННЫХ ПРОПУСКОВ (ПРОКИСМИТИ-КАРТ)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11.1.</w:t>
        <w:tab/>
        <w:t xml:space="preserve"> Заявки на оформление разового пропуска на Объекты 1, 2 и 3 (приложение 4.1 к Инструкции) оформляются в письменной форме и направляются в Бюро пропусков: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11.1.1. </w:t>
      </w:r>
      <w:r>
        <w:rPr>
          <w:color w:val="000000"/>
          <w:sz w:val="28"/>
          <w:szCs w:val="28"/>
        </w:rPr>
        <w:t xml:space="preserve">По указанию директора Филиала, первого </w:t>
      </w:r>
      <w:r>
        <w:rPr>
          <w:sz w:val="28"/>
          <w:szCs w:val="28"/>
        </w:rPr>
        <w:t>заместителя директора - главного инженера, заместителя директора по безопасности</w:t>
      </w:r>
      <w:r>
        <w:rPr>
          <w:color w:val="000000"/>
          <w:sz w:val="28"/>
          <w:szCs w:val="28"/>
        </w:rPr>
        <w:t>, руководителей структурных подразделений Филиала (лиц, исполняющих их обязанности), работники организующие их административную работу, направляют в Бюро пропусков заявку для дальнейшего оформления пропуска.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11.2.</w:t>
        <w:tab/>
        <w:t xml:space="preserve"> Работники, организующие работу приемной директора Филиала, первого заместителя директора - главного инженера, заместителя директора по безопасности Филиала, имеют право заявить об оформлении разового электронного пропуска на Объект 1 по телефону в Бюро пропусков. При получении такой заявки работник Бюро пропусков имеет право проверить ее достоверность, запросив письменное подтверждение.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11.3.</w:t>
        <w:tab/>
        <w:t xml:space="preserve"> При проведении на Объектах 1, 2 и 3 мероприятий или работ с большим количеством участников и необходимости одновременного оформления большого числа разовых пропусков могут составляться списки на доступ посетителей (далее – Списки посетителей) (приложение 5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Списки посетителей составляются в алфавитном порядке с указанием даты, времени и места проведения мероприятия, лица, ответственного за прием посетителей, подписываются руководителем структурного подразделения Филиала, а в случае проведения мероприятия на Объекте 2 – руководителем Обособленного подразделения Филиала.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Список посетителей оформляется в письменной форме, представляется для согласования в СБ и после согласования передается в Бюро пропусков на Объекте 1 или на Объекте 2.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11.4. Оформление разовых электронных пропусков (проксимити-карт) осуществляется на Объект 1 – в Бюро пропусков — ответственным работником СБ на Объекте 1, на Объект 2 – в Бюро пропусков — ответственным сотрудником охранного предприятия на Объекте 2</w:t>
      </w:r>
      <w:r>
        <w:rPr>
          <w:rStyle w:val="FootnoteReference"/>
          <w:sz w:val="28"/>
          <w:szCs w:val="28"/>
        </w:rPr>
        <w:footnoteReference w:id="5"/>
      </w:r>
      <w:r>
        <w:rPr>
          <w:sz w:val="28"/>
          <w:szCs w:val="28"/>
        </w:rPr>
        <w:t>, на основан</w:t>
      </w:r>
      <w:r>
        <w:rPr>
          <w:sz w:val="28"/>
          <w:szCs w:val="28"/>
          <w:shd w:fill="auto" w:val="clear"/>
        </w:rPr>
        <w:t xml:space="preserve">ии письменных заявок установленного образца (приложения 4.1 к Инструкции), представленных в СБ не позднее 5 (пяти) рабочих дней до планируемой даты посещения (начала оказания услуг / выполнения работ). 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11.5.</w:t>
        <w:tab/>
        <w:t xml:space="preserve"> Разовый электронный пропуск оформляется посетителю по предъявлении документа, являющегося основанием для выдачи пропусков и допуска на Объекты 1 и 2 согласно пунктам 9.2 и 9.3 Инструкции.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11.6.</w:t>
        <w:tab/>
        <w:t xml:space="preserve"> Выдача разового электронного пропуска посетителю, осуществляется только в присутствии сопровождающего его лица, назначенного руководителем структурного подразделения Филиала (далее – сопровождающее лицо), ответственному за прием посетителей и указанного в соответствующей заявке.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11.7.</w:t>
        <w:tab/>
        <w:t xml:space="preserve"> Вновь принятым работникам Филиала, до момента выдачи им в установленном порядке постоянного (временного) электронного пропуска при наличии в Бюро пропусков приказа о приеме их на работу, наличие сопровождающего лица не требуется. Сопровождающее лицо также не требуется для выдачи разового пропуска работникам Филиала, при утере ими постоянного или временного пропуска.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11.8. Работник Бюро пропусков при выдаче электронного пропуска обязан проверить соответствие личности сопровождающего лица данным, указанным в заявке на выдачу пропуска. В случае замены сопровождающего, указанного в электронной заявке, в связи с производственной или служебной необходимостью, данный факт подлежит фиксации Бюро пропусков. Замена сопровождающего не требует оформления новой заявки на выдачу разового электронного пропуска.</w:t>
      </w:r>
    </w:p>
    <w:p>
      <w:pPr>
        <w:pStyle w:val="Normal"/>
        <w:tabs>
          <w:tab w:val="clear" w:pos="709"/>
          <w:tab w:val="left" w:pos="1418" w:leader="none"/>
          <w:tab w:val="left" w:pos="1843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11.9.</w:t>
        <w:tab/>
        <w:t xml:space="preserve"> Оформление постоянных и временных электронных пропусков (проксимити-карт) на Объекты 1 и 2 работникам Филиала осуществляется на основании заявок, подписанных руководителями структурных подразделений Филиала (лицами, исполняющими их обязанности) (приложения 2.1 и 2.2 к Инструкции), согласованных с Отделом управления персоналом и СБ Филиала.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заявке должны быть прилож</w:t>
      </w:r>
      <w:r>
        <w:rPr>
          <w:sz w:val="28"/>
          <w:szCs w:val="28"/>
          <w:shd w:fill="auto" w:val="clear"/>
        </w:rPr>
        <w:t>ены копии приказа о приеме на работу и документа, удостоверяющего личность. В заявке на оформление</w:t>
      </w:r>
      <w:r>
        <w:rPr>
          <w:sz w:val="28"/>
          <w:szCs w:val="28"/>
        </w:rPr>
        <w:t xml:space="preserve"> постоянных и временных электронных пропусков (проксимити-карт) должно быть указано:</w:t>
      </w:r>
    </w:p>
    <w:p>
      <w:pPr>
        <w:pStyle w:val="Normal"/>
        <w:numPr>
          <w:ilvl w:val="0"/>
          <w:numId w:val="11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имеется ли необходимость круглосуточного доступа на Объекты 1 и 2 в рабочие, выходные и нерабочие праздничные дни;</w:t>
      </w:r>
    </w:p>
    <w:p>
      <w:pPr>
        <w:pStyle w:val="Normal"/>
        <w:numPr>
          <w:ilvl w:val="0"/>
          <w:numId w:val="11"/>
        </w:numPr>
        <w:tabs>
          <w:tab w:val="clear" w:pos="709"/>
          <w:tab w:val="left" w:pos="993" w:leader="none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имеется ли необходимость доступа в режимные секторы.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/>
      </w:pPr>
      <w:r>
        <w:rPr>
          <w:sz w:val="28"/>
          <w:szCs w:val="28"/>
        </w:rPr>
        <w:t>11.10.</w:t>
        <w:tab/>
        <w:t xml:space="preserve"> Оформление временных электронных пропусков на Объекты 1 и 2 лицам, выполняющим работы и / или оказывающим услуги на Объектах 1 и 2 в соответствии с гражданско-правовыми договорами, осуществляется на основании заявок, подписанных руководителями структурных подразделений Филиа</w:t>
      </w:r>
      <w:r>
        <w:rPr>
          <w:sz w:val="28"/>
          <w:szCs w:val="28"/>
          <w:shd w:fill="auto" w:val="clear"/>
        </w:rPr>
        <w:t>ла, являющимися ответственными за выполняемые работы и / или оказываемые услуги, согласованных с СБ, а также при необходимости Отделом управления персоналом Филиала (в случаях когда Филиал заключает договор гражданско-правового характера с физическим лицом (специалистом).</w:t>
      </w:r>
    </w:p>
    <w:p>
      <w:pPr>
        <w:pStyle w:val="BodyTextIndent"/>
        <w:ind w:firstLine="851"/>
        <w:rPr/>
      </w:pPr>
      <w:r>
        <w:rPr/>
        <w:t>В заявке указываются реквизиты договора, на основании которого выполняются работы и / или оказываются услуги на Объектах 1 и 2. Так же указываются режим работы и зоны доступа. К заявке должна быть приложена анкета установленного образца (приложение 9 к Инструкции), справка с места работы (приложение 10 к Инструкции), подписанная руководителем или надлежащим образом уполномоченным лицом. При необходимости в СБ представляется копия договора, на основании которого выполняются работы и / или оказываются услуги на Объектах 1 и 2.</w:t>
      </w:r>
    </w:p>
    <w:p>
      <w:pPr>
        <w:pStyle w:val="Normal"/>
        <w:widowControl w:val="false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11.10.1 Оформление временных электронных пропусков работникам организаций, выполняющих подрядные работы и / или оказывающих услуги на Объектах 1 и 2, включенных в Перечень работ непосредственно связанных с обеспечением безопасности объектов топливно-энергетического комплекса</w:t>
      </w:r>
      <w:r>
        <w:rPr>
          <w:rStyle w:val="FootnoteReference"/>
          <w:sz w:val="28"/>
          <w:szCs w:val="28"/>
        </w:rPr>
        <w:footnoteReference w:id="6"/>
      </w:r>
      <w:r>
        <w:rPr>
          <w:sz w:val="28"/>
          <w:szCs w:val="28"/>
        </w:rPr>
        <w:t xml:space="preserve"> (утверждено приказом Минэнерго России от 13.12.2011 № 587) осуществляется на основании письменного обращения (письма) руководителя подрядной организации по согласованию с СБ. В письме должны содержаться следующие сведения: фамилия имя отчество, дата рождения, место регистрации, должность, режим работы и зоны доступа.</w:t>
      </w:r>
    </w:p>
    <w:p>
      <w:pPr>
        <w:pStyle w:val="Normal"/>
        <w:widowControl w:val="false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 письму должны прилагаться следующие документы:</w:t>
      </w:r>
    </w:p>
    <w:p>
      <w:pPr>
        <w:pStyle w:val="Normal"/>
        <w:widowControl w:val="false"/>
        <w:tabs>
          <w:tab w:val="clear" w:pos="709"/>
          <w:tab w:val="left" w:pos="85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сведения о лицах из указанного перечня, подтверждающие принадлежность данных лиц к Подрядчику (копии трудового договора или копии трудовых книжек или копии приказов о приёме на работу);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копия страниц паспорта;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справка о наличии (отсутствии) судимости и (или) факта уголовного преследования либо о прекращении уголовного преследования;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заполненная анкета (приложение 9);</w:t>
      </w:r>
    </w:p>
    <w:p>
      <w:pPr>
        <w:pStyle w:val="Normal"/>
        <w:widowControl w:val="false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согласие на обработку персональных данных (приложение 11).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11.11.</w:t>
        <w:tab/>
        <w:t xml:space="preserve"> Обязательным условием выдачи временных электронных пропусков работникам Филиала является наличие заполненной заявки (приложение 3.2 к Инструкции), согласованной начальником СБ и копий </w:t>
      </w:r>
      <w:r>
        <w:rPr>
          <w:sz w:val="28"/>
          <w:szCs w:val="28"/>
          <w:shd w:fill="auto" w:val="clear"/>
        </w:rPr>
        <w:t>приказа о приеме на работу и</w:t>
      </w:r>
      <w:r>
        <w:rPr>
          <w:sz w:val="28"/>
          <w:szCs w:val="28"/>
        </w:rPr>
        <w:t xml:space="preserve"> документа, удостоверяющего личность.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11.12. Выдача постоянных и временных электронных пропусков работникам Филиала, а также иных организаций осуществляется только после ознакомления их с требованиями главы 19 Инструкции с подписью в журнале выдачи электронных пропусков.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замены испорченного сломанного, неработающего электронного пропуска лицам, ранее получившим электронный пропуск на право допуска на Объекты 1 и 2, либо изменения фамилии, следует самостоятельно обратиться в Бюро пропусков с предоставлением подтверждающих документов.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11.13.</w:t>
        <w:tab/>
        <w:t xml:space="preserve"> При необходимости изменения режима допуска лицам, ранее получившим электронный пропуск на право допуска на Объекты 1 и 2 либо для посещения Объектов 1 и 2 в выходные и нерабочие праздничные дни лицам, которым такое право не предоставлено, в письменной форме в Бюро пропусков подается заявка (приложение 6 к Инструкции), подписанная, соответственно, руководителем структурного подразделения Филиала, директором Филиала (или лицом, исполняющим их обязанности) и согласованная с СБ.</w:t>
      </w:r>
    </w:p>
    <w:p>
      <w:pPr>
        <w:pStyle w:val="Normal"/>
        <w:tabs>
          <w:tab w:val="clear" w:pos="709"/>
          <w:tab w:val="left" w:pos="1560" w:leader="none"/>
        </w:tabs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12. допуск физических лиц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12.1.</w:t>
        <w:tab/>
        <w:t xml:space="preserve"> Доступ на Объекты 1 и 2 осуществляется через оборудованные КПП.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12.2.</w:t>
        <w:tab/>
        <w:t xml:space="preserve"> Допуск на Объекты 1 и 2 осуществляется по электронным пропускам (проксимити-картам) установленного образца (приложения 2.1, 2.2 и 2.3 к Инструкции), по разовым пропускам (приложение 2.4 к Инструкции) и по спискам посетителей (приложение 5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12.3.</w:t>
        <w:tab/>
        <w:t xml:space="preserve"> По требованию сотрудника охранного предприятия / учреждения / охранной организации электронный пропуск (проксимити-карта), предоставляющий право доступа на Объекты 1 и 2, должен быть передан ему в руки для проверки.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12.4.</w:t>
        <w:tab/>
        <w:t xml:space="preserve"> Допуск на Объекты 1 и 2 посетителей по разовым электронным пропускам (проксимити-картам) (разовым пропускам, спискам посетителей) осуществляется только с сопровождающим лицом, которое обязано сопроводить посетителя к месту рабочей встречи (совещания), проведения работ и обратно на выход с Объектов 1 и 2, за исключением случаев, указанных в пункте 12.8 Инструкции.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12.5.</w:t>
        <w:tab/>
        <w:t xml:space="preserve"> Работники Филиала, а также иные посетители, которым оформлен временный или постоянный электронный пропуск, при отсутствии (в том числе утере, краже и т.д.) проксимити-карты, предоставляющей право доступа на Объекты 1 и 2, допускаются по разовому электронному пропуску (проксимити-карте) в порядке, установленном пунктом 11.8 Инструкции. Сопровождающее лицо не требуется.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12.6.</w:t>
        <w:tab/>
        <w:t xml:space="preserve"> Посетители директора Филиала, первого заместителя директора - главного инженера, заместителя директора по безопасности, допускаются на Объекты 1 и 2 в сопровождении сотрудника охранного предприятия / учреждения / охранной организации или работника СБ.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12.7. Лица, следующие в сопровождении директора Филиала, первого заместителя директора - главного инженера, заместителя директора по безопасности Филиала, допускаются на территорию без оформления пропусков по предъявлению документов, удостоверяющих личность.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12.8.</w:t>
        <w:tab/>
        <w:t xml:space="preserve"> Допуск инкассаторов на Объекты 1 и 2 осуществляется по утвержденным спискам, допуск фельдъегерей и работников обслуживающих компаний – по служебным удостоверениям в сопровождении сотрудника охранного предприятия / учреждения / охранной организации.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12.9.</w:t>
        <w:tab/>
        <w:t xml:space="preserve"> Допуск представителей органов государственной власти Российской Федерации на Объекты 1, 2 и 3 осуществляется по их служебным удостоверениям в сопровождении работника СБ (при необходимости), сотрудника охранного предприятия / учреждения / охранной организации, а также работника структурного подразделения Филиала, в которое они прибыли.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12.10.</w:t>
        <w:tab/>
        <w:t xml:space="preserve"> Допуск работников правоохранительных органов и специальных служб Российской Федерации осуществляется на Объекты 1, 2 и 3 по их служебным удостоверениям в сопровождении работника СБ (при необходимости) и сотрудника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12.11.</w:t>
        <w:tab/>
        <w:t xml:space="preserve"> Допуск на Объекты 1 и 2 в выходные, нерабочие праздничные дни и / или в нерабочее время лиц, не имеющих такого права в соответствии с отметками в проксимити-карте, предоставляющей право прохода на Объекты 1 и 2, осуществляется на основании заявок об изменении режима допуска, </w:t>
      </w:r>
      <w:r>
        <w:rPr>
          <w:color w:val="000000"/>
          <w:sz w:val="28"/>
          <w:szCs w:val="28"/>
        </w:rPr>
        <w:t xml:space="preserve">составленных в порядке, установленном пунктом 11.13 </w:t>
      </w:r>
      <w:r>
        <w:rPr>
          <w:sz w:val="28"/>
          <w:szCs w:val="28"/>
        </w:rPr>
        <w:t>Инструкции по форме приложения 6 к Инструкции.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12.12.</w:t>
        <w:tab/>
        <w:t xml:space="preserve"> Допуск представителей коммунальных служб и обслуживающих компаний на Объекты 1, 2 и 3 осуществляется в сопровождении представителей структурного подразделения Филиала и / или сотрудника охранного предприятия / учреждения / охранной организации.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возникновении чрезвычайной ситуации сотрудники охранного предприятия / учреждения / охранной организации немедленно информируют ответственных работников Филиала, и допускают представителей коммунальных служб и аварийных бригад на Объекты 1, 2 и 3 в сопровождении представителей структурных подразделений и / или сотрудников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12.13.</w:t>
        <w:tab/>
        <w:t xml:space="preserve"> Допуск пожарных команд на Объекты 1, 2 и 3 осуществляется в соответствии с утвержденной в установленном порядке инструкцией о мерах пожарной безопасности.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12.14. Допуск медицинских работников на территорию Объекта 1, 2 и 3 осуществляется в сопровождении работника структурного подразделения, куда вызвана медицинская помощь, либо в сопровождении сотрудника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12.15.</w:t>
        <w:tab/>
        <w:t xml:space="preserve"> В случае обострения оперативной обстановки, возрастания степени угроз террористического и диверсионного характера решением заместителя директора по безопасности Филиала, согласованным с директором Филиала, на Объектах 1 и 2 могут вводиться дополнительные меры по усилению пропускного режима в соответствии с локальными нормативными документами (актами) Общества и Филиала, включающие, в том числе осмотр (досмотр) ручной клади с использованием спецсредств (металлодетекторов и др.) или запрет на пронос ручной клади.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rFonts w:eastAsia="Arial Unicode MS"/>
          <w:sz w:val="28"/>
          <w:szCs w:val="28"/>
        </w:rPr>
        <w:t>12.16. Учитывая особенность организации пропускного режима через КПП Чиркейской и Миатлинской ГЭС, связанной с тем, что через их территории проходят транзитные автодороги к местностям, используемым в сельскохозяйственных целях (Чиркейская ГЭС) и массового отдыха туристов (Миатлинская ГЭС), допускается проезд транзитного автотранспорта и пассажиров в обе стороны с соблюдением мероприятий по осмотру (досмотру) в установленном порядке, а также их регистрацией в специальном Журнале без оформления пропусков (приложение 8.3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12.17. В нерабочее время (в исключительных случаях) допуск на территорию Объектов 1, 2 и 3 осуществляется по распоряжению директора Филиала, первого заместителя директора - главного инженера, заместителя директора по безопасности Филиала и начальника Службы безопасности, на общих основаниях.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12.18.</w:t>
        <w:tab/>
        <w:t xml:space="preserve"> Невыполнение требований Инструкции, а также требований работников СБ или сотрудников охранного предприятия / учреждения / охранной организации по исполнению требований Инструкции является основанием для отказа в допуске на Объекты 1 и 2.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13. Особенности допуска иностранных граждан и лиц без гражданства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/>
      </w:pPr>
      <w:r>
        <w:rPr>
          <w:sz w:val="28"/>
          <w:szCs w:val="28"/>
        </w:rPr>
        <w:t>13.1.</w:t>
        <w:tab/>
        <w:t xml:space="preserve"> Допуск на Объекты 1, 2 и 3 иностранных граждан осуществляется в соответствии с требованиями законодательства Российской Федерации, ЛНД (А) Общества, регламентирующими порядок проведения деловых встреч (переговоров) с участием иностранных граждан, посещение ими Объектов 2 в составе туристических групп, а также в соответствии с гражданско-правовыми договорами, на основании которых такими гражданами выполняются работы и / или оказываются услуги на Объектах 1, 2 и 3.</w:t>
      </w:r>
    </w:p>
    <w:p>
      <w:pPr>
        <w:pStyle w:val="BodyTextIndent"/>
        <w:tabs>
          <w:tab w:val="clear" w:pos="709"/>
          <w:tab w:val="left" w:pos="1418" w:leader="none"/>
        </w:tabs>
        <w:ind w:firstLine="851"/>
        <w:rPr/>
      </w:pPr>
      <w:r>
        <w:rPr/>
        <w:t>13.2. Выдача разового пропуска на Объекты 1, 2 и 3 иностранному гражданину и лицу без гражданства осуществляется на основании заявки, оформленной в соответствии с приказом Общества от 29.12.2023 № 965 «Об утверждении Регламента процесса «Приема иностранных граждан ПАО РусГидро» и листа согласования с резолюцией заместителя директора по безопасности Филиала или работника, исполняющего его обязанности.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firstLine="851"/>
        <w:jc w:val="both"/>
        <w:outlineLvl w:val="1"/>
        <w:rPr/>
      </w:pPr>
      <w:r>
        <w:rPr>
          <w:sz w:val="28"/>
          <w:szCs w:val="28"/>
        </w:rPr>
        <w:t>13.3. Проход иностранных граждан на Объекты 1, 2 и 3 осуществляется в соответствии с пунктами 11.6 и 12.4 Инструкции.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418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14. Особенности допуска лиц с оружием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14.1.</w:t>
        <w:tab/>
        <w:t xml:space="preserve"> Работники правоохранительных органов и специальных служб пропускаются на Объекты 1, 2 и 3 с табельным оружием в соответствии с законодательством Российской Федерации и в сопровождении работников СБ (при необходимости) и сотрудников охранного предприятия / учреждения / охранной организации.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14.2. Сотрудники охранного предприятия / учреждения / охранной организации допускаются на Объекты 1, 2 и 3 с табельным оружием и спецсредствами, только при наличии соответствующего разрешения (лицензии) на ношение оружия и при исполнении ими служебных обязанностей.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14.3. Допуск работников инкассации с табельным оружием на Объекты 1 и 2 осуществляется по утвержденным спискам.</w:t>
      </w:r>
    </w:p>
    <w:p>
      <w:pPr>
        <w:pStyle w:val="Normal"/>
        <w:numPr>
          <w:ilvl w:val="1"/>
          <w:numId w:val="13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Транзитный проезд (проход) через плотину Чиркейской ГЭС жителей сел. Чиркей Буйнакского района к землям сельскохозяйственного назначения, а также работников охотхозяйства в заповедную зону, имеющих при себе зарегистрированное охотничье (служебное) оружие, допускается с</w:t>
      </w:r>
      <w:r>
        <w:rPr>
          <w:sz w:val="28"/>
          <w:szCs w:val="28"/>
          <w:highlight w:val="yellow"/>
        </w:rPr>
        <w:t xml:space="preserve"> </w:t>
      </w:r>
      <w:r>
        <w:rPr>
          <w:sz w:val="28"/>
          <w:szCs w:val="28"/>
        </w:rPr>
        <w:t>разрешения руководителя группы СБ по ОП «Чиркейская ГЭС» с регистрацией оружия в специальном Журнале на КПП № 1, в который вносятся вид, номер оружия и срок действия лицензии (разрешения) (приложение 8.6 к Инструкции).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14.5.</w:t>
        <w:tab/>
        <w:t xml:space="preserve"> Иные лица с оружием и специальными средствами на Объекты 1, 2 и 3 не допускаются.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15. порядок прекращения допуска, сдачи выданных пропусков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15.1.</w:t>
        <w:tab/>
        <w:t xml:space="preserve"> Постоянные и временные электронные пропуска, выданные работникам Филиала, подлежат сдаче в Бюро пропусков при увольнении соответствующего работника, о чем делается отметка в обходном листе.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15.2.</w:t>
        <w:tab/>
        <w:t xml:space="preserve"> Ответственный работник Отдела управления персоналом Филиала, обязан не позднее следующего рабочего дня после издания приказа об увольнении работника направлять в СБ информацию о дате увольнения.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15.3.</w:t>
        <w:tab/>
        <w:t xml:space="preserve"> Временные электронные пропуска, выданные лицам, выполняющим работы и / или оказывающим услуги на Объектах 1 и 2 в соответствии с гражданско-правовыми договорами, подлежат сдаче в Бюро пропусков в последний день срока действия договора либо после прекращения соответствующих договорных обязательств. 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15.4.</w:t>
        <w:tab/>
        <w:t xml:space="preserve"> В случае утраты электронного пропуска, его владелец (физическое лицо, работник Филиала, а также лицо выполняющий работы в соответствии с гражданско-правовыми договорами) обязан незамедлительно уведомить об этом Бюро пропусков.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15.4.1. Владелец пропуска в письменной форме представляет объяснительную записку на имя лица, ходатайствовавшего о выдаче данного пропуска с указанием обстоятельств утраты.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15.4.2. Лицо, ходатайствовавшее о выдаче пропуска работнику, в письменной форме уведомляет СБ об обстоятельствах утраты пропуска и необходимости выдать работнику новый пропуск взамен утраченного.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15.5.</w:t>
        <w:tab/>
        <w:t xml:space="preserve"> Бюро пропусков, получив сообщение об утрате постоянного, временного или разового электронного пропусков, немедленно предпринимают действия по его блокировке.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15.6.</w:t>
        <w:tab/>
        <w:t xml:space="preserve"> По факту утраты пропуска проводятся проверочные мероприятия, материалы которой хранятся в СБ. Новые постоянные и временные электронные пропуска выдаются после завершения проверочных мероприятий в установленном порядке, по решению начальника СБ.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 завершения проверки работнику Филиала выдается разовый пропуск в порядке, определенном в пунктах 11.7 и 11.8 Инструкции.</w:t>
      </w:r>
    </w:p>
    <w:p>
      <w:pPr>
        <w:pStyle w:val="Normal"/>
        <w:spacing w:before="0"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15.7.</w:t>
        <w:tab/>
        <w:t xml:space="preserve"> В случае неисполнения Инструкции, СБ вправе в последующем отказать работнику Филиала, посетителю в допуске на Объекты 1 и 2.</w:t>
      </w:r>
    </w:p>
    <w:p>
      <w:pPr>
        <w:pStyle w:val="Normal"/>
        <w:spacing w:before="0" w:after="0"/>
        <w:contextualSpacing/>
        <w:jc w:val="center"/>
        <w:rPr/>
      </w:pPr>
      <w:r>
        <w:rPr/>
      </w:r>
    </w:p>
    <w:p>
      <w:pPr>
        <w:pStyle w:val="Normal"/>
        <w:spacing w:before="0" w:after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v</w:t>
      </w:r>
      <w:r>
        <w:rPr>
          <w:b/>
          <w:caps/>
          <w:sz w:val="28"/>
          <w:szCs w:val="28"/>
        </w:rPr>
        <w:t>. допуск на объекты 1, 2 и 3 автотранспорта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851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16. Оформление ДОПУСКА автотранспорта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21"/>
        </w:numPr>
        <w:tabs>
          <w:tab w:val="clear" w:pos="709"/>
          <w:tab w:val="left" w:pos="1418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 </w:t>
      </w:r>
      <w:r>
        <w:rPr>
          <w:rFonts w:eastAsia="Arial Unicode MS"/>
          <w:bCs/>
          <w:sz w:val="28"/>
          <w:szCs w:val="28"/>
        </w:rPr>
        <w:t>Допуск автотранспорта на территорию Объектов 1, 2 и 3 осуществляется согласно списка утвержденного директором Филиала на один календарный год.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16.2. Автотранспорт, принадлежащий АО «ТК РусГидро» (далее – Транспортная Компания), а также работники, следующие с этим транспортом, пропускаются на территорию Объектов 1, 2 и 3 и выпускаются обратно по предъявлению постоянного или временного электронного пропус</w:t>
      </w:r>
      <w:r>
        <w:rPr>
          <w:rFonts w:eastAsia="Arial Unicode MS"/>
          <w:sz w:val="28"/>
          <w:szCs w:val="28"/>
          <w:shd w:fill="auto" w:val="clear"/>
        </w:rPr>
        <w:t xml:space="preserve">ка (за исключением Объекта 3) </w:t>
      </w:r>
      <w:r>
        <w:rPr>
          <w:rFonts w:eastAsia="Arial Unicode MS"/>
          <w:sz w:val="28"/>
          <w:szCs w:val="28"/>
        </w:rPr>
        <w:t>и путевого листа.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16.3. Допуск автотранспорта сторонних организаций на территорию Объектов 1, 2 и 3 осуществляется по разовым пропускам, при предъявлении путевых листов и паспортов водителей. Сопровождающим груз экспедиторам или грузчикам разовый пропуск выписывается в установленном порядке.</w:t>
      </w:r>
    </w:p>
    <w:p>
      <w:pPr>
        <w:pStyle w:val="Normal"/>
        <w:numPr>
          <w:ilvl w:val="1"/>
          <w:numId w:val="6"/>
        </w:numPr>
        <w:tabs>
          <w:tab w:val="clear" w:pos="709"/>
          <w:tab w:val="left" w:pos="1418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 </w:t>
      </w:r>
      <w:r>
        <w:rPr>
          <w:rFonts w:eastAsia="Arial Unicode MS"/>
          <w:sz w:val="28"/>
          <w:szCs w:val="28"/>
        </w:rPr>
        <w:t>Автотранспорт сторонних организаций, обслуживающий Филиал по договору, пропускается на территорию и выпускается с территории Объектов 1, 2 и 3 по предъявлению водителем на КПП путевого листа и временного пропуска.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16.5. Все виды автотранспорта при въезде на территории Объектов 2 и 3, должны осматриваться (досматриваться) с соблюдением последовательности и порядка осмотра (досмотра), приведенной в приложении 1 к Инструкции на КПП сотрудниками охранного предприятия / учреждения</w:t>
      </w:r>
      <w:r>
        <w:rPr>
          <w:rStyle w:val="FootnoteReference"/>
          <w:rFonts w:eastAsia="Arial Unicode MS"/>
          <w:sz w:val="28"/>
          <w:szCs w:val="28"/>
        </w:rPr>
        <w:footnoteReference w:id="7"/>
      </w:r>
      <w:r>
        <w:rPr>
          <w:rFonts w:eastAsia="Arial Unicode MS"/>
          <w:sz w:val="28"/>
          <w:szCs w:val="28"/>
        </w:rPr>
        <w:t xml:space="preserve"> / охранной организации.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16.6. Погрузка на автотранспорт отходов производства и мусора должна производиться в присутствии работника СБ, который сопровождает автотранспорт до КПП Объекта 2.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Автотранспорт, имеющие съемные кузова и контейнеры, которые загружаются в течение нескольких дней, работник СБ должен сопровождать до полигона по захоронению промышленных отходов и убедиться в отсутствии материальных ценностей под мусором.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16.7. Разовые пропуска на водителей автотранспорта оформляются в Бюро пропусков на основании заявок на оформление разовых пропусков для допуска на территорию Объекта Филиала, в которых должна содержаться информация о марке и государственном регистрационном номере автотранспорта, оформленных в соответствии с требованиями пункта 11.5 </w:t>
      </w:r>
      <w:r>
        <w:rPr>
          <w:sz w:val="28"/>
          <w:szCs w:val="28"/>
        </w:rPr>
        <w:t>настоящей Инструкции</w:t>
      </w:r>
      <w:r>
        <w:rPr>
          <w:rFonts w:eastAsia="Arial Unicode MS"/>
          <w:sz w:val="28"/>
          <w:szCs w:val="28"/>
        </w:rPr>
        <w:t>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color w:val="000000"/>
          <w:sz w:val="28"/>
          <w:szCs w:val="28"/>
        </w:rPr>
      </w:pPr>
      <w:r>
        <w:rPr>
          <w:rFonts w:eastAsia="Arial Unicode MS"/>
          <w:sz w:val="28"/>
          <w:szCs w:val="28"/>
        </w:rPr>
        <w:t>16.8. Весь автотранспорт, в том числе и легковой, въезжающий (выезжающий) на (с) территорию (-ии) Объекта 2 и 3, подлежит тщательному осмотру (досмотру), а также на предмет наличия сопроводительных документов на имущество. Водитель лично предъявляет для осмотра (досмотра) автомашину и несет персональную ответственность за строгое соответствие вывозимого (ввозимого) имущества и имеющихся на него сопроводительных документов.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16.9. На Объекте 2 (ОП «Чиркейская ГЭС») допуск автотранспорта через КПП-1 осуществляется постовыми охранного учреждения по разовому пропуску (приложение 2.5 к</w:t>
      </w:r>
      <w:r>
        <w:rPr>
          <w:sz w:val="28"/>
          <w:szCs w:val="28"/>
        </w:rPr>
        <w:t xml:space="preserve"> Инструкции</w:t>
      </w:r>
      <w:r>
        <w:rPr>
          <w:rFonts w:eastAsia="Arial Unicode MS"/>
          <w:color w:val="000000"/>
          <w:sz w:val="28"/>
          <w:szCs w:val="28"/>
        </w:rPr>
        <w:t>), заполняемому постовым команды № 3 охранного предприятия за подписью начальника дежурной смены. По возвращении пропуск сдается на КПП-1.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color w:val="000000"/>
          <w:sz w:val="28"/>
          <w:szCs w:val="28"/>
        </w:rPr>
        <w:t>При въезде на территорию станции стороннего автотранспорта разовый пропуск (при</w:t>
      </w:r>
      <w:r>
        <w:rPr>
          <w:rFonts w:eastAsia="Arial Unicode MS"/>
          <w:sz w:val="28"/>
          <w:szCs w:val="28"/>
        </w:rPr>
        <w:t xml:space="preserve">ложение 2.5 к </w:t>
      </w:r>
      <w:r>
        <w:rPr>
          <w:sz w:val="28"/>
          <w:szCs w:val="28"/>
        </w:rPr>
        <w:t>Инструкции</w:t>
      </w:r>
      <w:r>
        <w:rPr>
          <w:rFonts w:eastAsia="Arial Unicode MS"/>
          <w:sz w:val="28"/>
          <w:szCs w:val="28"/>
        </w:rPr>
        <w:t>) выдает инспектор бюро пропусков команды № 3 охранного предприятия.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16.10. Обязанности водителей автотранспорта при проезде через КПП Объектов 2 и 3: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при подъезде к КПП снизить скорость, остановить машину, и заглушить двигатель;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выйти из автотранспорта, предъявить постовому путевой лист, личный пропуск, а также документы на ввозимые или вывозимые материальные ценности;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предъявить автотранспорт к осмотру (досмотру): открыть кабину, сиденья, багажник, кузов, тару и т.п.;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выполнять все законные требования работников охраны;</w:t>
      </w:r>
    </w:p>
    <w:p>
      <w:pPr>
        <w:pStyle w:val="Normal"/>
        <w:numPr>
          <w:ilvl w:val="0"/>
          <w:numId w:val="18"/>
        </w:numPr>
        <w:tabs>
          <w:tab w:val="clear" w:pos="709"/>
          <w:tab w:val="left" w:pos="993" w:leader="none"/>
        </w:tabs>
        <w:ind w:left="0"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получив от работника охраны путевой лист и документы, с его разрешения продолжать движение.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Пассажиры, следующие с автотранспортом на территорию Объектов 2 и 3 и с территории Объектов 2 и 3, проходят при наличии у них пропусков Филиала через КПП для прохода персонала.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16.11. Особенности пропуска персонала и автотранспорта на базу материально-технического снабжения (далее – МТС) и автотранспортный участок:</w:t>
      </w:r>
    </w:p>
    <w:p>
      <w:pPr>
        <w:pStyle w:val="Normal"/>
        <w:tabs>
          <w:tab w:val="clear" w:pos="709"/>
          <w:tab w:val="left" w:pos="1701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16.11.1. Персонал Филиала на территорию базы МТС пропускается по пропускам Филиала. В выходные и праздничные дни персонал Филиала пропускается по заявке руководителя структурного подразделения Филиала (подрядной организации), согласованной директором Филиала, или при наличии приказа.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Автотранспорт и лица, прибывшие с грузом или за получением материальных ценностей, пропускаются при наличии соответствующих документов на доставленный груз или полностью оформленных документов на получение материальных ценностей.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Автотранспорт и лица, прибывшие за получением материальных ценностей после 16:00 часов, на территорию складов не допускаются.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16.12. Работники Транспортной Компании на территорию Объектов 1 и 2 Филиала проходят по постоянным пропускам.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Выпуск автотранспорта с территории Объектов 1 и 2 производится по путевым листам при наличии в них отметки механика. В рабочие дни, автотранспорт выезжает по путевым листам при наличии в них отметки механика, при предоставлении механику Транспортной Компании заявки на автотранспорт за подписью начальника структурного подразделения Филиала, выходные и праздничные дни, ночное время суток автотранспорт выпускается по путевым листам, при предоставлении механику Транспортной Компании заявки на автотранспорт за подписью начальника структурного подразделения Филиала, директора Филиала, первого заместителя директора - главного инженера, заместителя директора по безопасности Филиала и лиц их замещающих.</w:t>
      </w:r>
    </w:p>
    <w:p>
      <w:pPr>
        <w:pStyle w:val="Normal"/>
        <w:tabs>
          <w:tab w:val="clear" w:pos="709"/>
          <w:tab w:val="left" w:pos="1843" w:leader="none"/>
        </w:tabs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16.12.1. При въезде на территорию Объектов 1, 2 и 3 автотранспорта, не имеющего связи с Филиалом, у водителя в обязательном порядке временно изымается путевой лист, при выезде – возвращается. Данный автотранспорт осуществляет въезд на территорию Объектов 1, 2 и 3 только с разрешения директора Филиала, первого </w:t>
      </w:r>
      <w:r>
        <w:rPr>
          <w:sz w:val="28"/>
          <w:szCs w:val="28"/>
        </w:rPr>
        <w:t>заместителя директора - главного инженера, заместителя директора по безопасности</w:t>
      </w:r>
      <w:r>
        <w:rPr>
          <w:rFonts w:eastAsia="Arial Unicode MS"/>
          <w:sz w:val="28"/>
          <w:szCs w:val="28"/>
        </w:rPr>
        <w:t xml:space="preserve"> Филиала.</w:t>
      </w:r>
    </w:p>
    <w:p>
      <w:pPr>
        <w:pStyle w:val="Normal"/>
        <w:tabs>
          <w:tab w:val="clear" w:pos="709"/>
          <w:tab w:val="left" w:pos="1843" w:leader="none"/>
        </w:tabs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0" w:leader="none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vi</w:t>
      </w:r>
      <w:r>
        <w:rPr>
          <w:b/>
          <w:caps/>
          <w:sz w:val="28"/>
          <w:szCs w:val="28"/>
        </w:rPr>
        <w:t>. Перемещение ТОВАРНО-материальных ценностей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851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17. порядок Перемещения ТОВАРНО-материальных ценностей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numPr>
          <w:ilvl w:val="1"/>
          <w:numId w:val="15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Перемещение товарно-материальных ценностей с Объектов 1, 2 или 3 и на Объекты 3, 2 или 1, соответственно, производится на основании материального пропуска (приложение 7 к настоящей Инструкции).</w:t>
      </w:r>
    </w:p>
    <w:p>
      <w:pPr>
        <w:pStyle w:val="Normal"/>
        <w:numPr>
          <w:ilvl w:val="1"/>
          <w:numId w:val="15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Материальные пропуска оформляются руководителем структурного подразделения Филиала. Основаниями на право оформления материальных пропусков для вывоза и выноса с территории Объектов 1, 2 и 3 оборудования и товарно-материальных ценностей являются: требование, накладная, передаточный акт.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Подписывать материальные пропуска имеют право директор Филиала, первый заместитель директора - главный инженер Филиала, а в их отсутствие - лица их замещающие.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17.3. Вынос (внос) товарно-материальных ценностей с Объектов 1, 2 и 3 (на Объекты 1, 2 и 3) допускается только при соответствии их наименованию и количеству, указанному в материальном пропуске, при наличии у лиц, осуществляющих их перемещение, соответствующих документов, предоставляющих право допуска на Объекты 1, 2 и 3.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охранного предприятия / учреждения / охранной организации обязаны проверить соответствие перемещаемых товарно-материальных ценностей указанным в материальном пропуске.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17.4. Перемещение товарно-материальных ценностей на Объектах 1, 2 и 3 осуществляется только в сопровождении работника структурного подразделения Филиала, оформившего материальный пропуск.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17.5. Перемещение товарно-материальных средств, указанных в материальном пропуске, осуществляется единовременно.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 допускается поэтапное перемещение материальных ценностей по одному пропуску.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sz w:val="28"/>
          <w:szCs w:val="28"/>
        </w:rPr>
        <w:t>17.6. Внос (ввоз) на Объекты 1, 2 и 3 взрывчатых, биологически и химически опасных и радиоактивных веществ не допускается.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17.7. Материальные пропуска заполняются четко и разборчиво, исправления в них подтверждаются подписями лиц, их заполнившими. В материальных пропусках указывается полное наименование материала, его вес или количество, которое вывозится или выносится (вес, метраж, род упаковки и количество мест) прописью.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 материальных пропусках на вывоз материальных ценностей указывается номер автомашины.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На материальном пропуске ставятся: подпись материально-ответственного лица, отпустившего материалы, и подпись лица, получившего материалы.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17.8. Материальные пропуска с подписью директора Филиала или первого заместителя директора - главного инженера Филиала дают право на вывоз, вынос готовой продукции и материальных ценностей в день их выдачи и регистрации.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17.9. Вынос мелкого инструмента, спецодежды и обуви для производства работ вне территории Объектов 1, 2 и 3 производится по заявкам, подписанным руководителем подразделения, отдела, службы.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17.10. Погрузку битого железобетона, мусора, древесных опилок, строительного мусора и других отходов производства для вывоза с целью очистки территории Объектов 1, 2 и 3 осуществляют под контролем сотрудника охранного предприятия / охранной организации.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Вывоз такого груза осуществляется на Объекте 1 по устному разрешению начальника СБ (в случае его отсутствия, лица его замещающего), на Объектах 2 и 3 по устному разрешению руководителя группы СБ по ОП, или лица его замещающего.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17.11. Вывоз (ввоз) и вынос (внос) с территории (на территорию) Объектов 1, 2 и 3 на ремонт деталей оборудования и приборов производится по материальным пропускам.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17.12. Вывоз с территории белья и спецодежды организациями и лицами (для стирки, химчистки и т.д.) производится по приемо-сдаточной накладной.</w:t>
      </w:r>
    </w:p>
    <w:p>
      <w:pPr>
        <w:pStyle w:val="Normal"/>
        <w:ind w:firstLine="851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17.13. Вывоз и вынос материальных ценностей, принадлежащих предприятиям и организациям, расположенным на территории Объектов 1, 2 и 3 производится по материальным пропускам Филиала.</w:t>
      </w:r>
    </w:p>
    <w:p>
      <w:pPr>
        <w:pStyle w:val="Normal"/>
        <w:ind w:firstLine="851"/>
        <w:jc w:val="both"/>
        <w:rPr/>
      </w:pPr>
      <w:r>
        <w:rPr>
          <w:rFonts w:eastAsia="Arial Unicode MS"/>
          <w:sz w:val="28"/>
          <w:szCs w:val="28"/>
        </w:rPr>
        <w:t>17.14. Руководители предприятий и организаций, расположенных на территории Объектов 1, 2 и 3 представляют ежегодно по состоянию на 1 января в Бюро пропусков списки лиц, имеющих право подписи.</w:t>
      </w:r>
    </w:p>
    <w:p>
      <w:pPr>
        <w:pStyle w:val="Normal"/>
        <w:ind w:firstLine="851"/>
        <w:jc w:val="both"/>
        <w:rPr/>
      </w:pPr>
      <w:r>
        <w:rPr>
          <w:rFonts w:eastAsia="Arial Unicode MS"/>
          <w:sz w:val="28"/>
          <w:szCs w:val="28"/>
        </w:rPr>
        <w:t>Образец подписи вновь назначенного лица, подается в Бюро пропусков немедленно.</w:t>
      </w:r>
    </w:p>
    <w:p>
      <w:pPr>
        <w:pStyle w:val="Normal"/>
        <w:ind w:firstLine="851"/>
        <w:jc w:val="both"/>
        <w:rPr/>
      </w:pPr>
      <w:r>
        <w:rPr>
          <w:rFonts w:eastAsia="Arial Unicode MS"/>
          <w:sz w:val="28"/>
          <w:szCs w:val="28"/>
        </w:rPr>
        <w:t>17.15. Работники Филиала и подрядных организаций, находящихся на территории Объектов 1, 2 и 3, и посетители при проходе на Объекты 1, 2 и 3 и выходе из Объектов 1, 2 и 3 с личными вещами (свертки, чемоданы, портфели, пакеты, сумки, за исключением дамских сумочек) предъявляют их для осмотра (досмотра) по требованию сотрудника охранного предприятия / учреждения / охранной организации.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раздел </w:t>
      </w:r>
      <w:r>
        <w:rPr>
          <w:b/>
          <w:caps/>
          <w:sz w:val="28"/>
          <w:szCs w:val="28"/>
          <w:lang w:val="en-US"/>
        </w:rPr>
        <w:t>vii</w:t>
      </w:r>
      <w:r>
        <w:rPr>
          <w:b/>
          <w:caps/>
          <w:sz w:val="28"/>
          <w:szCs w:val="28"/>
        </w:rPr>
        <w:t>. организация внутриобъектового режима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  <w:bookmarkStart w:id="1" w:name="_Hlk90305080"/>
      <w:bookmarkStart w:id="2" w:name="_Hlk90305080"/>
      <w:bookmarkEnd w:id="2"/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18. Внутриобъектовый режим</w:t>
      </w:r>
    </w:p>
    <w:p>
      <w:pPr>
        <w:pStyle w:val="Normal"/>
        <w:keepNext w:val="true"/>
        <w:keepLines/>
        <w:numPr>
          <w:ilvl w:val="0"/>
          <w:numId w:val="0"/>
        </w:numPr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  <w:bookmarkStart w:id="3" w:name="_Hlk90305080_Копия_1"/>
      <w:bookmarkStart w:id="4" w:name="_Hlk90305080_Копия_1"/>
      <w:bookmarkEnd w:id="4"/>
    </w:p>
    <w:p>
      <w:pPr>
        <w:pStyle w:val="Normal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18.1. Особый режим доступа предусматривается для сектора режимно-секретного структурного подразделения и др. (далее – режимные секторы):</w:t>
      </w:r>
    </w:p>
    <w:p>
      <w:pPr>
        <w:pStyle w:val="Normal"/>
        <w:tabs>
          <w:tab w:val="clear" w:pos="709"/>
          <w:tab w:val="left" w:pos="1418" w:leader="none"/>
          <w:tab w:val="left" w:pos="1560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18.1.1. Перечень режимных секторов и лиц, ответственных за их сдачу (вскрытие) под охрану, составляется СБ и утверждается приказом Филиала.</w:t>
      </w:r>
    </w:p>
    <w:p>
      <w:pPr>
        <w:pStyle w:val="Normal"/>
        <w:tabs>
          <w:tab w:val="clear" w:pos="709"/>
          <w:tab w:val="left" w:pos="1418" w:leader="none"/>
          <w:tab w:val="left" w:pos="1560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18.1.2. Для доступа в режимные секторы предусматривается наличие соответствующего допуска на проксимити-карте.</w:t>
      </w:r>
    </w:p>
    <w:p>
      <w:pPr>
        <w:pStyle w:val="Normal"/>
        <w:tabs>
          <w:tab w:val="clear" w:pos="709"/>
          <w:tab w:val="left" w:pos="1560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18.1.3. По окончании рабочего дня помещения режимного сектора закрываются на замок. При этом помещения опечатываются ответственным работником в присутствии сотрудника охранного предприятия / учреждения / охранной организации и сдаются под охрану. Ключи от служебных помещений режимных секторов сдаются ответственным работником на хранение в специальных контейнерах (далее – пеналы) в опечатанном виде под подпись в Журнале приема (сдачи) под охрану режимных помещений (приложение 8.1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18.2. Помещения Объектов 1 и 2, оборудованные охранной сигнализацией с выводом в помещение охраны в рабочее время находятся под наблюдением сотрудников, работающих в них. По окончании работы данные помещения сдаются под охрану под роспись в Журнале приема (сдачи) под охрану режимных помещений (приложение 8.1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18.3. По окончании работы производственные и складские помещения закрываются на замки и опечатываются, окна запираются на запоры. Ключи сдаются сотруднику охранного предприятия / учреждения / охранной организации на КПП под роспись в Журнале учета приема и выдачи ключей (приложение 8.2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18.4. Комплекты ключей от всех служебных помещений Объектов 1, 2 и 3 находятся в специальном шкафу в помещении КПП и могут быть использованы для комиссионного вскрытия помещений в экстренных случаях с составлением соответствующего Акта о причинах вскрытия с указанием состава комиссии, присутствовавшей при этом (не менее двух лиц), и подписанного всеми ее членами. При вскрытии служебных помещений в нерабочее время обязательно присутствие в составе комиссии дежурного сотрудника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18.5. Вскрытие помещения режимного сектора производится только по указанию начальника СБ или лица его замещающего, комиссией, в состав которой должны входить дежурный сотрудник охранного предприятия / учреждения / охранной организации и представитель структурного подразделения Филиала, за которым закреплено помещение. При вскрытии служебных помещений в нерабочее время комиссия может состоять только из дежурных сотрудников охранного предприятия / учреждения / охранной организации.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 экстренном вскрытии режимных помещений делается соответствующая запись в Журнале приема (сдачи) под охрану режимных помещений (приложение 8.1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18.6. Акт вскрытия служебных помещений, после его составления, подлежит передаче в СБ немедленно либо в первый рабочий день, в случае вскрытия помещения в нерабочее время.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18.7. Выдача комплектов ключей для уборки служебных помещений работникам обслуживающего персонала и последующий их прием под охрану осуществляется сотрудниками дежурных смен (нарядов) охранного предприятия / учреждения / охранной организации при заполнении соответствующей формы в Журнале учета приема и выдачи ключей (приложение 8.2 к </w:t>
      </w:r>
      <w:r>
        <w:rPr>
          <w:sz w:val="28"/>
          <w:szCs w:val="28"/>
        </w:rPr>
        <w:t>Инструкции</w:t>
      </w:r>
      <w:r>
        <w:rPr>
          <w:color w:val="000000"/>
          <w:sz w:val="28"/>
          <w:szCs w:val="28"/>
        </w:rPr>
        <w:t>).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Техническое обслуживание и уборка помещения режимных секторах осуществляется только в рабочее время и в присутствии лица, за которым данное помещение закреплено.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18.8. В предпраздничные дни все служебные, технические и технологические помещения, шахты лифтов осматриваются на предмет проверки надежности состояния противопожарной безопасности и обеспечения соблюдения внутриобъектового режима. Лица, ответственные за проведение таких проверок, определяются приказом по Филиалу.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>
          <w:color w:val="000000"/>
          <w:sz w:val="28"/>
          <w:szCs w:val="28"/>
          <w:shd w:fill="FFFF00" w:val="clear"/>
        </w:rPr>
      </w:pPr>
      <w:r>
        <w:rPr>
          <w:color w:val="000000"/>
          <w:sz w:val="28"/>
          <w:szCs w:val="28"/>
        </w:rPr>
        <w:t>18.9. При обнаружении нарушения целостности печати на двери в помещение, расположенном в режимном секторе, повреждения замка в служебных или складских помещениях, иных признаков, указывающих на возможное проникновение в помещения, немедленно ставятся в известность руководитель структурного подразделения либо должностное лицо Филиала, за которым закреплено помещение, организуется тщательная проверка и по ее завершении составляется Акт о фактах хищения служебных документов или товарно-материальных ценностей. О происшествии немедленно уведомляется начальник СБ, либо лицо его замещающее. Необходимые мероприятия по розыску похищенных служебных документов и материальных ценностей, а также по выявлению виновных лиц производятся соответствующими правоохранительными органами при непосредственном участии СБ.</w:t>
      </w:r>
    </w:p>
    <w:p>
      <w:pPr>
        <w:pStyle w:val="Normal"/>
        <w:tabs>
          <w:tab w:val="clear" w:pos="709"/>
          <w:tab w:val="left" w:pos="1418" w:leader="none"/>
        </w:tabs>
        <w:ind w:firstLine="851"/>
        <w:jc w:val="both"/>
        <w:rPr/>
      </w:pPr>
      <w:r>
        <w:rPr>
          <w:color w:val="000000"/>
          <w:sz w:val="28"/>
          <w:szCs w:val="28"/>
        </w:rPr>
        <w:t>18.10. Фотографирование, видео- и киносъемка на территории Объекта 2, а также в служебных и производственных помещениях Объекта 2 производится только после предварительного письменного согласования с Департаментом безопасности ПАО «РусГидро».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color w:val="000000"/>
          <w:szCs w:val="28"/>
        </w:rPr>
      </w:pPr>
      <w:r>
        <w:rPr>
          <w:caps/>
          <w:color w:val="000000"/>
          <w:szCs w:val="28"/>
        </w:rPr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both"/>
        <w:outlineLvl w:val="1"/>
        <w:rPr>
          <w:caps/>
          <w:sz w:val="28"/>
          <w:szCs w:val="28"/>
        </w:rPr>
      </w:pPr>
      <w:r>
        <w:rPr>
          <w:caps/>
          <w:sz w:val="28"/>
          <w:szCs w:val="28"/>
        </w:rPr>
        <w:t>ГЛАВА 19. обязанности работников филиала по соблюдению пропускного и внутриобъектового режимов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9"/>
          <w:tab w:val="left" w:pos="1843" w:leader="none"/>
        </w:tabs>
        <w:ind w:left="0" w:hanging="0"/>
        <w:jc w:val="center"/>
        <w:outlineLvl w:val="1"/>
        <w:rPr>
          <w:caps/>
          <w:szCs w:val="28"/>
        </w:rPr>
      </w:pPr>
      <w:r>
        <w:rPr>
          <w:caps/>
          <w:szCs w:val="28"/>
        </w:rPr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19.1. Работники Филиала обязаны: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соблюдать установленный настоящей Инструкции, оказывать содействие в его поддержании;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обеспечивать сохранность выданных им документов, предоставляющих право допуска на Объекты 1, 2 и 3;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выполнять требования сотрудников охранного предприятия / учреждения / охранной организации по соблюдению требований, установленных настоящей Инструкцией;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по окончании рабочего дня, либо во время рабочего дня при покидании служебного помещения всеми работающими в нем, проверить, чтобы в служебном помещении не оставались посетители, выключить электроосвещение, закрыть на замки входные двери;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 xml:space="preserve">по окончании рабочего дня, либо во время рабочего дня по завершении работы в нем, закрыть помещения, расположенные в режимных секторах, на замки и опечатать в присутствии сотрудника охранного предприятия / учреждения / охранной организации. Ключи от помещений в опечатанных пеналах сдать дежурному сотруднику охранного предприятия / учреждения / охранной организации, заполнив соответствующую форму в Журнале </w:t>
      </w:r>
      <w:r>
        <w:rPr>
          <w:color w:val="000000"/>
        </w:rPr>
        <w:t xml:space="preserve">приема (сдачи) под охрану режимных помещений (приложение 8.1 к </w:t>
      </w:r>
      <w:r>
        <w:rPr/>
        <w:t>Инструкции</w:t>
      </w:r>
      <w:r>
        <w:rPr>
          <w:color w:val="000000"/>
        </w:rPr>
        <w:t>)</w:t>
      </w:r>
      <w:r>
        <w:rPr/>
        <w:t>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соблюдать правила противопожарной безопасности;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курить только в специально установленных местах.</w:t>
      </w:r>
    </w:p>
    <w:p>
      <w:pPr>
        <w:pStyle w:val="Normal"/>
        <w:numPr>
          <w:ilvl w:val="1"/>
          <w:numId w:val="4"/>
        </w:numPr>
        <w:ind w:left="0" w:firstLine="851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Работникам Филиала при нахождении на Объектах 1, 2 и 3 запрещается: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передавать свои документы, электронные карты, предоставляющие право допуска на Объекты 1, 2 и 3, третьим лицам, оставлять их без контроля на рабочем месте;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проводить с использованием выданных им электронных пропусков на Объекты 1 и 2 иных лиц;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использовать выданные им электронные пропуска для несанкционированного перемещения третьих лиц по территории Объектов 1 и 2 (за исключением случаев сопровождения посетителей, на которых установленным порядком оформлены соответствующие заявки);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находиться на Объектах 1, 2 и 3 сверх времени, указанного в документах, предоставляющих право допуска на Объекты 1, 2 и 3, без разрешения должностных лиц;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заезжать на территорию Объектов 1, 2 и 3 на личном автотранспорте, за исключением установленных для стоянок мест;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оставлять личный автотранспорт в служебных гаражах и других помещениях и на территории Объектов 1, 2 и 3;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оставлять открытыми окна в помещениях после окончания работы, в том числе и имеющие металлические решетки;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проходить и проезжать на территорию Объектов 1, 2 и 3 в состоянии алкогольного, наркотического и токсикологического опьянения, проносить и провозить с собой спиртные напитки;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проносить и провозить огнестрельное оружие, боеприпасы;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проносить фото, видео, аудиоаппаратуру;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проносить и провозить рыбацкие принадлежности;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разводить огонь или проводить сварочные работы без разрешения;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изготавливать предметы для личной надобности;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оставаться на ночлег на территории Объектов 1, 2 и 3 в помещениях;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засорять территорию и помещение строительными отходами, а также загромождать предметами;</w:t>
      </w:r>
    </w:p>
    <w:p>
      <w:pPr>
        <w:pStyle w:val="BodyTextIndent"/>
        <w:numPr>
          <w:ilvl w:val="0"/>
          <w:numId w:val="27"/>
        </w:numPr>
        <w:tabs>
          <w:tab w:val="clear" w:pos="709"/>
          <w:tab w:val="left" w:pos="993" w:leader="none"/>
        </w:tabs>
        <w:ind w:left="0" w:firstLine="851"/>
        <w:rPr/>
      </w:pPr>
      <w:r>
        <w:rPr/>
        <w:t>курить в не предназначенных для этого местах.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19.3. При нахождении на территории Объектов все работники Филиала, подрядных организаций и посетители обязаны иметь при себе документы, предоставляющие право прохода на территорию Объектов. Передача указанных документов иным лицам не допускается.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19.4. Лица, нарушающие установленный в Филиале пропускной и внутриобъектовый режимы, привлекаются к ответственности в зависимости от характера нарушения и его последствий в соответствии с законодательством.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1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  <w:tab w:val="left" w:pos="3425" w:leader="none"/>
        </w:tabs>
        <w:ind w:hanging="0"/>
        <w:jc w:val="center"/>
        <w:rPr/>
      </w:pPr>
      <w:r>
        <w:rPr/>
        <w:t xml:space="preserve">Порядок 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/>
      </w:pPr>
      <w:r>
        <w:rPr/>
        <w:t xml:space="preserve">проведения осмотра (досмотра) персонала (посетителей), транспортных средств, материальных ценностей и другого имущества на КПП 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/>
      </w:pPr>
      <w:r>
        <w:rPr/>
        <w:t>Филиала ПАО «РусГидро» - «Дагестанский филиала»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Heading1"/>
        <w:numPr>
          <w:ilvl w:val="0"/>
          <w:numId w:val="2"/>
        </w:num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. ОБЩИЕ ПОЛОЖЕНИЯ</w:t>
      </w:r>
    </w:p>
    <w:p>
      <w:pPr>
        <w:pStyle w:val="Heading1"/>
        <w:numPr>
          <w:ilvl w:val="0"/>
          <w:numId w:val="2"/>
        </w:numPr>
        <w:jc w:val="center"/>
        <w:rPr>
          <w:sz w:val="24"/>
        </w:rPr>
      </w:pPr>
      <w:r>
        <w:rPr>
          <w:sz w:val="24"/>
        </w:rPr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Способами проверки персонала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(посетителей) транспортных средств, грузов и личных вещей при пересечении КПП</w:t>
      </w:r>
      <w:r>
        <w:rPr>
          <w:rStyle w:val="12"/>
        </w:rPr>
        <w:t xml:space="preserve"> является осмотр и досмотр.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Осмотр персонала (посетителей) транспортных средств и грузов (далее – Осмотр) является одним из основных элементов пропускного режима охраняемого объекта.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Основной целью осмотра является: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предотвращение несанкционированного проноса (провоза) запрещенных предметов и веществ на охраняемую территорию, а также незаконного выноса (вывоза) материальных ценностей;</w:t>
      </w:r>
    </w:p>
    <w:p>
      <w:pPr>
        <w:pStyle w:val="Normal"/>
        <w:ind w:firstLine="851"/>
        <w:jc w:val="both"/>
        <w:rPr>
          <w:rStyle w:val="12"/>
        </w:rPr>
      </w:pPr>
      <w:r>
        <w:rPr>
          <w:sz w:val="28"/>
          <w:szCs w:val="28"/>
        </w:rPr>
        <w:t>- при перемещении через КПП грузов, установление его соответствия количественно-качественным параметрам (указанное количество в пропускных документах должно соответствовать наличию) и документальная фиксация факта его перемещения на объект или с объекта.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sz w:val="28"/>
          <w:szCs w:val="28"/>
        </w:rPr>
      </w:pPr>
      <w:r>
        <w:rPr>
          <w:rStyle w:val="12"/>
        </w:rPr>
        <w:t>Личный досмотр, досмотр вещей, находящихся при физическом лице,</w:t>
      </w:r>
      <w:r>
        <w:rPr>
          <w:sz w:val="28"/>
          <w:szCs w:val="28"/>
        </w:rPr>
        <w:t xml:space="preserve"> является обследованием вещей, которое проводится без нарушения их конструктивной целостности и осуществляется в случаях необходимости с целью обнаружения орудий совершения либо предметов совершенного административного правонарушения.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Личный досмотр, досмотр вещей, находящихся при физическом лице, осуществляются должностными лицами, указанными в ст. 27.2, 27.3 Кодекса РФ об АП.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rStyle w:val="12"/>
        </w:rPr>
      </w:pPr>
      <w:r>
        <w:rPr>
          <w:sz w:val="28"/>
          <w:szCs w:val="28"/>
        </w:rPr>
        <w:t>Досмотр вещей, находящихся при физическом лице (ручной клади, багажа, и иных предметов), осуществляется уполномоченными на то должностными лицами (одного пола с досматриваемым) в присутствии двух понятых (того же пола) и в строгом соответствии с требованиями ст. 27.7 Кодекса РФ об АП.</w:t>
      </w:r>
    </w:p>
    <w:p>
      <w:pPr>
        <w:pStyle w:val="Normal"/>
        <w:numPr>
          <w:ilvl w:val="0"/>
          <w:numId w:val="0"/>
        </w:numPr>
        <w:ind w:left="0" w:firstLine="851"/>
        <w:jc w:val="both"/>
        <w:outlineLvl w:val="2"/>
        <w:rPr>
          <w:sz w:val="28"/>
          <w:szCs w:val="28"/>
        </w:rPr>
      </w:pPr>
      <w:r>
        <w:rPr>
          <w:rStyle w:val="12"/>
        </w:rPr>
        <w:t>Досмотр транспортного средства любого вида,</w:t>
      </w:r>
      <w:r>
        <w:rPr>
          <w:sz w:val="28"/>
          <w:szCs w:val="28"/>
        </w:rPr>
        <w:t xml:space="preserve"> то есть обследование транспортного средства, проводимое без нарушения его конструктивной целостности, осуществляется в целях обнаружения орудий совершения либо предметов административного правонарушения, в строгом соответствии с требованиями ст. 27.9 Кодекса РФ об АП.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Досмотр транспортного средства осуществляется лицами, указанными в ст. 27.2, 27.3 Кодекса РФ об АП, а также в присутствии двух понятых и лица, во владении которого оно находится. В случаях, не терпящих отлагательства, досмотр транспортного средства может быть осуществлен в отсутствие указанного лица.</w:t>
      </w:r>
    </w:p>
    <w:p>
      <w:pPr>
        <w:pStyle w:val="Heading1"/>
        <w:numPr>
          <w:ilvl w:val="0"/>
          <w:numId w:val="2"/>
        </w:numPr>
        <w:jc w:val="center"/>
        <w:rPr>
          <w:b/>
          <w:bCs/>
        </w:rPr>
      </w:pPr>
      <w:r>
        <w:rPr>
          <w:b/>
          <w:lang w:val="en-US"/>
        </w:rPr>
        <w:t>II</w:t>
      </w:r>
      <w:r>
        <w:rPr>
          <w:b/>
        </w:rPr>
        <w:t>. ПОРЯДОК ОСМОТРА (ДОСМОТРА) ПЕРСОНАЛА (ПОСЕТИТЕЛЕЙ), ВНОСИМЫХ (ВЫНОСИМЫХ) ЛИЧНЫХ ВЕЩЕЙ И МАТЕРИАЛЬНЫХ ЦЕННОСТЕЙ</w:t>
      </w:r>
    </w:p>
    <w:p>
      <w:pPr>
        <w:pStyle w:val="Heading1"/>
        <w:numPr>
          <w:ilvl w:val="0"/>
          <w:numId w:val="2"/>
        </w:numPr>
        <w:jc w:val="center"/>
        <w:rPr>
          <w:bCs/>
          <w:sz w:val="24"/>
        </w:rPr>
      </w:pPr>
      <w:r>
        <w:rPr>
          <w:bCs/>
          <w:sz w:val="24"/>
        </w:rPr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2.1. При осмотре персонала (посетителей), вносимых (выносимых) личных вещей и материальных ценностей постовой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проходе через КПП лиц, требовать от них выполнения положений Инструкции охраняемого Объекта;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у входящих (выходящих) лиц, с помощью средств контроля управления доступом (СКУД) установленных на КПП соответствие данных отображаемых на мониторе и фото с внешностью проходящего, в исключительных случаях требовать от прибывших лиц предъявление пропуска с целью его визуальной проверки;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визуальный осмотр личных вещей (ручной клади) без личного контакта с объектом обследования;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дополнительный осмотр верхней одежды и визуальный осмотр личных вещей (ручной клади), при подаче сигнала арочным металлодетектором о наличии металлосодержащих предметов больше разрешенной массы, у лиц, проходящих через КПП, с использованием ручного металлодетектора. Для этого, постовой в уважительной форме должен потребовать от проходящего лица, выложить содержимое сумки (пакета, рюкзака и т.д.) на досмотровой стол;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производстве визуального осмотра личных вещей особое внимание обращать на наличие скрытых полостей в ручной клади (потайных карманов, двойного дна и т.д.);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обязательный визуальный осмотр, всех перемещаемых через КПП крупногабаритных предметов (ящики, коробки, сумки, пакеты), с целью исключения проноса запрещенных предметов, а также предупреждения хищений материальных ценностей;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пропуске через КПП какого-либо имущества, проверять правильность оформления материального пропуска, материального вкладыша, товарно-транспортной накладной и т.д. (далее – Сопроводительный документ), наличие и соответствие подписей, печатей, даты оформления, соответствие наименований и количества материалов с записью в сопроводительном документе и производить документальную фиксацию факта их перемещения, согласно требованиям Инструкции.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2.2. Личный досмотр, досмотр вещей, находящихся при физическом лице, может осуществляться только в случаях: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есть достаточно оснований полагать, что данное лицо причастно к преступлению или административному правонарушению, совершенному на охраняемом объекте;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задержанное лицо причастно к административному правонарушению, предусмотренному ст. 20.17 Кодекса РФ об АП;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есть достаточно оснований полагать, что данное лицо причастно к готовящемуся противоправному акту в отношении объекта или лиц, находящихся на нем.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личного досмотра, а также досмотра вещей, задержанное лицо должно быть сопровождено в специально отведенную комнату для проведения досмотра, в исключительных случаях досмотр может быть проведен в изолированном помещении охраны.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досмотр лица и досмотр находящихся при нем вещей должен проходить в присутствии представителя собственника охраняемого объекта, а также в строгом соответствии с требованиями ст. 27.7 Кодекса РФ об АП.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В исключительных случаях при наличии достаточных оснований полагать, что при физическом лице находятся оружие или иные предметы, используемые в качестве оружия, личный досмотр, досмотр вещей, находящихся при физическом лице, могут быть осуществлены без понятых (ч. 4 ст. 27.7 КоАП РФ).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2.3. Меры личной безопасности постового при проведении осмотра (досмотра) проходящих через КПП лиц: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приступать к разговору с лицами, проходящими через КПП следует вежливо, но уверенно и настойчиво, не позволять втягивать себя в длительную дискуссию, следить за реакцией на свои действия со стороны присутствующих при этом граждан, не позволять им отвлекать вас от дела;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проверке документов нужно предполагать, что перед вами посетитель, намерения которого неизвестны, следовательно, возможны агрессивные проявления;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дневное время целесообразно избирать такую позицию, чтобы свет падал проверяемому в глаза. В темное время желательно, чтобы проверяемый находился на свету, а постовой КПП в тени;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постовой КПП должен сохранять безопасную дистанцию между собой и проверяемым человеком, не стоять слишком близко к нему, т.к. это стеснит подвижность и даст возможность данному лицу внезапно напасть;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получении документов постовой КПП должен быть особенно бдительным, рекомендуется стоять вполоборота, справа от проверяемого и внимательно следить за его действиями, попеременно переводить взгляд с документов на человека;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 целях личной безопасности проверку целесообразно проводить в некотором отдалении от посторонних граждан, постовой КПП не должен позволять окружать себя посторонним гражданам или оставлять посторонних граждан у себя за спиной, не поворачиваться к ним спиной и не наклоняться перед ними;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подаваемые для проверки документы нельзя брать той рукой, которой сотрудник охранного предприятия / учреждения / охранной организации обычно достает оружие; необходимо брать только сами документы, не принимая другие предметы.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исполнении своих обязанностей сотрудник охранного предприятия / учреждения / охранной организации должен быть бдительным и осмотрительным. Даже при внешне безобидном поводе обращения сотрудника охранного предприятия / учреждения / охранной организации к неизвестному лицу, необходимо считаться с возможностью применения силы с его стороны или с тем, что могут вмешаться лица, внешне не причастные к правонарушению.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Сотрудник охранного предприятия / учреждения / охранной организации не должен действовать в одиночку в неясных ситуациях.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невозможности провести тщательную проверку постовой КПП должен сообщить об этом начальнику смены (его помощнику), с целью оказания помощи свободным постовым из состава дежурной смены.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Постовому КПП (при действии в составе группы) необходимо выбирать позицию так, чтобы проверяемое лицо все время находилось в поле зрения страхующего его сотрудника охранного предприятия / учреждения / охранной организации и не перекрывать напарнику сектор обзора, чтобы тот в случае необходимости, мог беспрепятственно оказать необходимую помощь.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Heading1"/>
        <w:numPr>
          <w:ilvl w:val="0"/>
          <w:numId w:val="2"/>
        </w:numPr>
        <w:jc w:val="center"/>
        <w:rPr/>
      </w:pPr>
      <w:r>
        <w:rPr>
          <w:b/>
          <w:lang w:val="en-US"/>
        </w:rPr>
        <w:t>III</w:t>
      </w:r>
      <w:r>
        <w:rPr>
          <w:b/>
        </w:rPr>
        <w:t>. ПОРЯДОК ОСМОТРА (ДОСМОТРА) ТРАНСПОРТНЫХ СРЕДСТВ, ВВОЗИМЫХ (ВЫВОЗИМЫХ) МАТЕРИАЛЬНЫХ ЦЕННОСТЕЙ</w:t>
      </w:r>
    </w:p>
    <w:p>
      <w:pPr>
        <w:pStyle w:val="Heading2"/>
        <w:numPr>
          <w:ilvl w:val="1"/>
          <w:numId w:val="2"/>
        </w:numPr>
        <w:ind w:firstLine="851"/>
        <w:jc w:val="both"/>
        <w:rPr/>
      </w:pPr>
      <w:r>
        <w:rPr/>
        <w:t>3.1. Для проведения осмотра транспортного средства постовой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потребовать от водителя транспортного средства перед въездом на КПП, высадить пассажиров;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запустить транспортное средство на досмотровую площадку, открыв въездные ворота и другие устройства, установленные на КПП, преграждающие движение транспортному средству;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указать водителю транспортного средства место его остановки (рядом со смотровой эстакадой, или в обозначенном дорожными знаками и СТОП-линией месте);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закрыть въездные ворота и другие устройства, установленные на КПП, преграждающие движение транспортному средству;</w:t>
      </w:r>
    </w:p>
    <w:p>
      <w:pPr>
        <w:pStyle w:val="31"/>
        <w:spacing w:before="0" w:after="0"/>
        <w:ind w:left="0" w:firstLine="851"/>
        <w:jc w:val="both"/>
        <w:rPr/>
      </w:pPr>
      <w:r>
        <w:rPr>
          <w:sz w:val="28"/>
          <w:szCs w:val="28"/>
        </w:rPr>
        <w:t>- потребовать от водителя заглушить двигатель, поставить транспортное средство на стояночный тормоз и выйти из него.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3.2. При осмотре транспортных средств, ввозимых (вывозимых) материальных ценностей постовой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у водителя и лица сопровождающего груз, наличие пропуска соответствие данных отображаемых на мониторе и фото с внешностью, используя при этом средства контроля управления доступом (СКУД) установленные на КПП, в исключительных случаях требовать от них предъявление пропуска с целью его визуальной проверки;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проверять у водителя наличие путевого листа, пропуска на транспортное средство, правильность его оформления, соответствие подписей, печатей, даты оформления;</w:t>
      </w:r>
    </w:p>
    <w:p>
      <w:pPr>
        <w:pStyle w:val="Normal"/>
        <w:ind w:firstLine="851"/>
        <w:jc w:val="both"/>
        <w:rPr>
          <w:sz w:val="28"/>
          <w:szCs w:val="28"/>
          <w:shd w:fill="FFFF00" w:val="clear"/>
        </w:rPr>
      </w:pPr>
      <w:r>
        <w:rPr>
          <w:sz w:val="28"/>
          <w:szCs w:val="28"/>
        </w:rPr>
        <w:t>- проводить визуальный осмотр транспортного средства, с целью исключения провоза запрещенных предметов, а также предупреждения хищений материальных ценностей, используя при этом средства досмотра (досмотровое зеркало) и эстакаду, установленную на КПП (см. приложения к Порядку);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осмотре упакованного груза, сумок, мешков, коробок и иных предметов, содержимое которых невозможно определить визуально, работник охранного предприятия использует металлодетектор.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пропуске через КПП какого-либо имущества, проверять правильность оформления материального пропуска, товарно-транспортной накладной и т.д. (далее – Сопроводительный документ), наличие и соответствие подписей, печатей, даты оформления, соответствие наименований и количества материалов с записью в сопроводительном документе и производить документальную фиксацию факта их перемещения, согласно требованиям Инструкции;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пропуске через КПП транзитного груза, проверять его соответствие наименований и количество с записью в сопроводительном документе;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3.3. После проведения осмотра транспортного средства постовой на КПП обязан: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вернуть водителю транспортного средства документы (за исключением случаев, указанных в Инструкции);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выпустить транспортное средство с досмотровой площадки, открыв выездные ворота и другие устройства, установленные на КПП, преграждающие движение транспортному средству;</w:t>
      </w:r>
    </w:p>
    <w:p>
      <w:pPr>
        <w:pStyle w:val="31"/>
        <w:spacing w:before="0" w:after="0"/>
        <w:ind w:left="0" w:firstLine="851"/>
        <w:jc w:val="both"/>
        <w:rPr>
          <w:sz w:val="28"/>
        </w:rPr>
      </w:pPr>
      <w:r>
        <w:rPr>
          <w:sz w:val="28"/>
          <w:szCs w:val="28"/>
        </w:rPr>
        <w:t>- после убытия транспортного средства с досмотровой площадки закрыть выездные ворота и другие устройства, установленные на КПП, преграждающие движение транспортному средству.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3.4. Досмотр транспортного средства может осуществляться в случаях: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когда есть достаточно оснований полагать, что в данном транспортном средстве могут быть орудия совершения либо предметы правонарушения;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получении информации от руководства охраняемого объекта о совершении правонарушения на охраняемом объекте.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Досмотр транспортного средства осуществляется в присутствии двух понятых, лица, во владении которого оно находится и в присутствии представителя собственника охраняемого объекта, а также в строгом соответствии с требованиями ст. 27.9 Кодекса РФ об АП.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случаях, не терпящих отлагательства, досмотр транспортного средства должен быть осуществлен в отсутствие лица, во владении которого транспортное средство находится.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Досмотр транспортного средства, перевозящего опломбированный груз, а также вскрытие пломбы осуществляется в присутствии понятых, водителя или лица, сопровождающего груз, и проводится нарядом в составе не менее двух сотрудников охранного предприятия / учреждения / охранной организации.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Один сотрудник охранного предприятия / учреждения / организации осуществляет проверку транспортного средства, другой сотрудник охранного предприятия / учреждения / охранной организации вооруженный автоматическим оружием подстраховывает его, наблюдая за действиями водителя и пассажиров досматриваемого транспортного средства.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3.5. При предъявлении к осмотру транспортного средства и груза водитель обязан: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перед КПП высадить пассажиров с транспортного средства;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остановить транспортное средство в обозначенном или указанном сотрудником охранного предприятия / учреждения / охранной организации месте;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поставить транспортное средство на стояночный тормоз (принять меры, исключающие самопроизвольное движение транспортного средства);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заглушить двигатель;</w:t>
      </w:r>
    </w:p>
    <w:p>
      <w:pPr>
        <w:pStyle w:val="31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предоставить транспортное средство и находящийся в нем груз к осмотру, (при отсутствии лица его сопровождающего);</w:t>
      </w:r>
    </w:p>
    <w:p>
      <w:pPr>
        <w:pStyle w:val="31"/>
        <w:spacing w:before="0" w:after="0"/>
        <w:ind w:left="0" w:firstLine="851"/>
        <w:jc w:val="both"/>
        <w:rPr/>
      </w:pPr>
      <w:r>
        <w:rPr>
          <w:sz w:val="28"/>
          <w:szCs w:val="28"/>
        </w:rPr>
        <w:t>- выполнять мотивированные требования сотрудника охранного предприятия / учреждения / охранной организации в процессе производства осмотра транспортного средства и груза.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3.6. Меры личной безопасности постового при проведении осмотра (досмотра) транспортных средств и грузов: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лестницы, подножки, ступени транспортного средства перед его осмотром должны быть очищены от грязи, снега и льда;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осмотр транспортных средств и перевозимых на них грузов должен проводиться на осмотровых площадках, оборудованных согласно предъявляемых к ним требований;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перед пропуском транспортного средства необходимо открыть проездные ворота и встать в безопасное место «уголок безопасности»;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створки немеханизированных проездных ворот в открытом положении должны быть зафиксированы стопорным устройством (фиксаторами);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движение транспортных средств через проём ворот допускается только при полном открытии створок ворот;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осмотр транспортного средства производить только при полной его остановке, заглушенном двигателе и постановке на стояночный тормоз;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для исключения самопроизвольного запуска двигателя и движения транспортного средства при его осмотре доступ в кабину транспортного средства должен быть исключен;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перед осмотром двигателя транспортного средства с поднимающейся кабиной должна быть установлена упорная штанга для фиксации кабины в поднятом положении;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не прикасаться к горячим частям двигателя и к электрооборудованию транспортного средства;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не открывать самому борта кузова или багажник;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вскрытии автофургона необходимо находиться на безопасном расстоянии от открываемых дверей автофургона во избежание получения травм открываемыми дверями либо вследствие возможного выпадения груза;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при проверке вывозимого груза не перекладывать его и содержимое багажника.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Запрещается проводить осмотр транспортного средства: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на открытых незащищенных площадках в грозу, метель, при сильном ветре и интенсивных атмосферных осадках;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 работающем двигателе транспортного средства;</w:t>
      </w:r>
    </w:p>
    <w:p>
      <w:pPr>
        <w:pStyle w:val="Normal"/>
        <w:ind w:firstLine="851"/>
        <w:jc w:val="both"/>
        <w:rPr/>
      </w:pPr>
      <w:r>
        <w:rPr>
          <w:sz w:val="28"/>
          <w:szCs w:val="28"/>
        </w:rPr>
        <w:t>- для осмотра транспортных средств использовать неисправные приставные лестницы, случайные предметы, а также осматривать транспортные средства с подножек или колес.</w:t>
      </w:r>
    </w:p>
    <w:p>
      <w:pPr>
        <w:pStyle w:val="Heading1"/>
        <w:numPr>
          <w:ilvl w:val="0"/>
          <w:numId w:val="2"/>
        </w:numPr>
        <w:ind w:firstLine="851"/>
        <w:jc w:val="both"/>
        <w:rPr/>
      </w:pPr>
      <w:r>
        <w:rPr/>
        <w:t>При управлении механизированными проездными воротами необходимо: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убедиться в отсутствии людей, транспортных средств и посторонних предметов в зоне движения створок ворот;</w:t>
      </w:r>
    </w:p>
    <w:p>
      <w:pPr>
        <w:pStyle w:val="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снять запирающее устройство, если створки ворот дополнительно им заперты;</w:t>
      </w:r>
    </w:p>
    <w:p>
      <w:pPr>
        <w:pStyle w:val="Normal"/>
        <w:ind w:firstLine="851"/>
        <w:jc w:val="both"/>
        <w:rPr>
          <w:rStyle w:val="12"/>
        </w:rPr>
      </w:pPr>
      <w:r>
        <w:rPr>
          <w:sz w:val="28"/>
          <w:szCs w:val="28"/>
        </w:rPr>
        <w:t>- произвести открывание или закрывание створок ворот нажатием соответствующих кнопок на пульте управления до отключения привода и остановки створок в крайних положениях.</w:t>
      </w:r>
    </w:p>
    <w:p>
      <w:pPr>
        <w:sectPr>
          <w:headerReference w:type="default" r:id="rId2"/>
          <w:headerReference w:type="first" r:id="rId3"/>
          <w:footnotePr>
            <w:numFmt w:val="decimal"/>
          </w:footnotePr>
          <w:type w:val="nextPage"/>
          <w:pgSz w:w="11906" w:h="16838"/>
          <w:pgMar w:left="1701" w:right="851" w:gutter="0" w:header="709" w:top="993" w:footer="0" w:bottom="1135"/>
          <w:pgNumType w:start="1" w:fmt="decimal"/>
          <w:formProt w:val="false"/>
          <w:titlePg/>
          <w:textDirection w:val="lrTb"/>
          <w:docGrid w:type="default" w:linePitch="360" w:charSpace="0"/>
        </w:sectPr>
        <w:pStyle w:val="Normal"/>
        <w:ind w:firstLine="851"/>
        <w:jc w:val="both"/>
        <w:rPr>
          <w:sz w:val="28"/>
          <w:szCs w:val="28"/>
        </w:rPr>
      </w:pPr>
      <w:r>
        <w:rPr>
          <w:rStyle w:val="12"/>
        </w:rPr>
        <w:t>При обнаружении неисправности проездных ворот</w:t>
      </w:r>
      <w:r>
        <w:rPr>
          <w:sz w:val="28"/>
          <w:szCs w:val="28"/>
        </w:rPr>
        <w:t xml:space="preserve"> (возникновение постороннего шума, стука, вибрации створок ворот и механизмов управления ими) необходимо немедленно прекратить работу и сообщить о неисправности непосредственному руководителю.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1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АВТОБУСА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9398635" cy="502539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0" t="-13" r="-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63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автобуса осматривается 11 основных точек:</w:t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35"/>
        <w:gridCol w:w="7492"/>
      </w:tblGrid>
      <w:tr>
        <w:trPr/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2</w:t>
            </w:r>
            <w:r>
              <w:rPr>
                <w:sz w:val="28"/>
                <w:szCs w:val="28"/>
                <w:u w:val="single"/>
              </w:rPr>
              <w:t xml:space="preserve"> 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отсек радиатора.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салон автобуса.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багажные отсеки.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6</w:t>
            </w:r>
            <w:r>
              <w:rPr>
                <w:sz w:val="28"/>
                <w:szCs w:val="28"/>
                <w:u w:val="single"/>
              </w:rPr>
              <w:t xml:space="preserve"> - ниша задней двери.</w:t>
            </w:r>
          </w:p>
        </w:tc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7 </w:t>
            </w:r>
            <w:r>
              <w:rPr>
                <w:sz w:val="28"/>
                <w:szCs w:val="28"/>
                <w:u w:val="single"/>
              </w:rPr>
              <w:t>- багажный отсек.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9</w:t>
            </w:r>
            <w:r>
              <w:rPr>
                <w:sz w:val="28"/>
                <w:szCs w:val="28"/>
                <w:u w:val="single"/>
              </w:rPr>
              <w:t xml:space="preserve"> - днище автобуса, колесные арки.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10</w:t>
            </w:r>
            <w:r>
              <w:rPr>
                <w:sz w:val="28"/>
                <w:szCs w:val="28"/>
                <w:u w:val="single"/>
              </w:rPr>
              <w:t xml:space="preserve"> - заправочная горловина.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11 </w:t>
            </w:r>
            <w:r>
              <w:rPr>
                <w:sz w:val="28"/>
                <w:szCs w:val="28"/>
                <w:u w:val="single"/>
              </w:rPr>
              <w:t>- технологические отсеки.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МИКРОАВТОБУСА (ГРУЗОПАССАЖИРСКОГО)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9581515" cy="508889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515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микроавтобуса осматривается 6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55"/>
        <w:gridCol w:w="7472"/>
      </w:tblGrid>
      <w:tr>
        <w:trPr/>
        <w:tc>
          <w:tcPr>
            <w:tcW w:w="745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1</w:t>
            </w:r>
            <w:r>
              <w:rPr>
                <w:sz w:val="28"/>
                <w:szCs w:val="28"/>
                <w:u w:val="single"/>
              </w:rPr>
              <w:t xml:space="preserve"> 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2</w:t>
            </w:r>
            <w:r>
              <w:rPr>
                <w:sz w:val="28"/>
                <w:szCs w:val="28"/>
                <w:u w:val="single"/>
              </w:rPr>
              <w:t xml:space="preserve"> 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пассажирские места.</w:t>
            </w:r>
          </w:p>
        </w:tc>
        <w:tc>
          <w:tcPr>
            <w:tcW w:w="747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4</w:t>
            </w:r>
            <w:r>
              <w:rPr>
                <w:sz w:val="28"/>
                <w:szCs w:val="28"/>
                <w:u w:val="single"/>
              </w:rPr>
              <w:t xml:space="preserve"> - кузов микроавтобуса, колесные арки.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5</w:t>
            </w:r>
            <w:r>
              <w:rPr>
                <w:sz w:val="28"/>
                <w:szCs w:val="28"/>
                <w:u w:val="single"/>
              </w:rPr>
              <w:t xml:space="preserve"> - топливные баки.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днище микроавтобуса.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3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32"/>
          <w:lang w:eastAsia="ru-RU"/>
        </w:rPr>
        <w:t>СХЕМА ОСМОТРА ГРУЗОВОГО АВТОМОБИЛЯ</w:t>
      </w:r>
      <w:r>
        <w:rPr/>
        <w:drawing>
          <wp:inline distT="0" distB="0" distL="0" distR="0">
            <wp:extent cx="9390380" cy="484251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38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грузового автомобиля осматривается 9 основных точек:</w:t>
      </w:r>
    </w:p>
    <w:p>
      <w:pPr>
        <w:pStyle w:val="Normal"/>
        <w:jc w:val="both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65"/>
        <w:gridCol w:w="7462"/>
      </w:tblGrid>
      <w:tr>
        <w:trPr/>
        <w:tc>
          <w:tcPr>
            <w:tcW w:w="7465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1</w:t>
            </w:r>
            <w:r>
              <w:rPr>
                <w:sz w:val="28"/>
                <w:szCs w:val="28"/>
                <w:u w:val="single"/>
              </w:rPr>
              <w:t xml:space="preserve"> 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2</w:t>
            </w:r>
            <w:r>
              <w:rPr>
                <w:sz w:val="28"/>
                <w:szCs w:val="28"/>
                <w:u w:val="single"/>
              </w:rPr>
              <w:t xml:space="preserve"> 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кабина со стороны пассажира.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пространство между кузовом и кабиной.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колесные арки.</w:t>
            </w:r>
          </w:p>
        </w:tc>
        <w:tc>
          <w:tcPr>
            <w:tcW w:w="746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6</w:t>
            </w:r>
            <w:r>
              <w:rPr>
                <w:sz w:val="28"/>
                <w:szCs w:val="28"/>
                <w:u w:val="single"/>
              </w:rPr>
              <w:t xml:space="preserve"> - кузов автомобиля.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7</w:t>
            </w:r>
            <w:r>
              <w:rPr>
                <w:sz w:val="28"/>
                <w:szCs w:val="28"/>
                <w:u w:val="single"/>
              </w:rPr>
              <w:t xml:space="preserve"> - кузов грузового автомобиля.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8</w:t>
            </w:r>
            <w:r>
              <w:rPr>
                <w:sz w:val="28"/>
                <w:szCs w:val="28"/>
                <w:u w:val="single"/>
              </w:rPr>
              <w:t xml:space="preserve"> - кузов автомобиля (кунг/будка).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9</w:t>
            </w:r>
            <w:r>
              <w:rPr>
                <w:sz w:val="28"/>
                <w:szCs w:val="28"/>
                <w:u w:val="single"/>
              </w:rPr>
              <w:t xml:space="preserve"> - днище автомобиля.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4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ЛЕГКОВОГО АВТОМОБИЛЯ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/>
      </w:pPr>
      <w:r>
        <w:rPr/>
        <w:drawing>
          <wp:inline distT="0" distB="0" distL="0" distR="0">
            <wp:extent cx="9064625" cy="506476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2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легкового автомобиля осматриваются 7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65"/>
        <w:gridCol w:w="7462"/>
      </w:tblGrid>
      <w:tr>
        <w:trPr/>
        <w:tc>
          <w:tcPr>
            <w:tcW w:w="7465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место водителя:</w:t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места под сидением водителя и за ним;</w:t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за приборной доской.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3</w:t>
            </w:r>
            <w:r>
              <w:rPr>
                <w:sz w:val="28"/>
                <w:szCs w:val="28"/>
                <w:u w:val="single"/>
              </w:rPr>
              <w:t xml:space="preserve"> - место пассажира и «бардачок».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sz w:val="28"/>
                <w:szCs w:val="28"/>
                <w:u w:val="single"/>
              </w:rPr>
              <w:t>Точка осмотра № 4</w:t>
            </w:r>
            <w:r>
              <w:rPr>
                <w:sz w:val="28"/>
                <w:szCs w:val="28"/>
                <w:u w:val="single"/>
              </w:rPr>
              <w:t xml:space="preserve"> - багажник.</w:t>
            </w:r>
          </w:p>
        </w:tc>
        <w:tc>
          <w:tcPr>
            <w:tcW w:w="7462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5</w:t>
            </w:r>
            <w:r>
              <w:rPr>
                <w:sz w:val="28"/>
                <w:szCs w:val="28"/>
                <w:u w:val="single"/>
              </w:rPr>
              <w:t xml:space="preserve"> - район выхлопной трубы.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днище автомобиля, топливный бак, колесные арки.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7 </w:t>
            </w:r>
            <w:r>
              <w:rPr>
                <w:sz w:val="28"/>
                <w:szCs w:val="28"/>
                <w:u w:val="single"/>
              </w:rPr>
              <w:t>- салон автомобиля.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5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АВТОКРАНА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8857615" cy="507301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автокрана осматриваются 6 основных точек:</w:t>
      </w:r>
    </w:p>
    <w:p>
      <w:pPr>
        <w:pStyle w:val="Normal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35"/>
        <w:gridCol w:w="7492"/>
      </w:tblGrid>
      <w:tr>
        <w:trPr/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кабина крана.</w:t>
            </w:r>
          </w:p>
        </w:tc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пространство за кабиной и технологические ниши.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Точка осмотра № 5</w:t>
            </w:r>
            <w:r>
              <w:rPr>
                <w:sz w:val="28"/>
                <w:szCs w:val="28"/>
                <w:u w:val="single"/>
              </w:rPr>
              <w:t xml:space="preserve"> - опоры автокрана.</w:t>
            </w:r>
          </w:p>
          <w:p>
            <w:pPr>
              <w:pStyle w:val="Normal"/>
              <w:widowControl w:val="false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рама автокрана, колесные арки.</w:t>
            </w:r>
          </w:p>
        </w:tc>
      </w:tr>
    </w:tbl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6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ЭКСКАВАТОРА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9326880" cy="5073015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экскаватора осматриваются 4 основные точки: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75"/>
        <w:gridCol w:w="7452"/>
      </w:tblGrid>
      <w:tr>
        <w:trPr/>
        <w:tc>
          <w:tcPr>
            <w:tcW w:w="7475" w:type="dxa"/>
            <w:tcBorders/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водителя.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 место за приборной доской, технологические люки, аккумуляторные и инструментальные отсеки.</w:t>
            </w:r>
          </w:p>
          <w:p>
            <w:pPr>
              <w:pStyle w:val="Normal"/>
              <w:widowControl w:val="false"/>
              <w:jc w:val="center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</w:tc>
        <w:tc>
          <w:tcPr>
            <w:tcW w:w="745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пространство за кабиной, ковш и технологические ниши.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рама и опоры.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7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</w:rPr>
      </w:pPr>
      <w:r>
        <w:rPr>
          <w:sz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sz w:val="28"/>
          <w:szCs w:val="32"/>
          <w:lang w:eastAsia="ru-RU"/>
        </w:rPr>
        <w:t>СХЕМА ОСМОТРА ПОГРУЗЧИКА</w:t>
      </w:r>
      <w:r>
        <w:rPr/>
        <w:drawing>
          <wp:inline distT="0" distB="0" distL="0" distR="0">
            <wp:extent cx="9318625" cy="490601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погрузчика осматриваются 5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92"/>
        <w:gridCol w:w="7435"/>
      </w:tblGrid>
      <w:tr>
        <w:trPr/>
        <w:tc>
          <w:tcPr>
            <w:tcW w:w="7492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 приборной доской.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пространство за кабиной</w:t>
            </w:r>
          </w:p>
          <w:p>
            <w:pPr>
              <w:pStyle w:val="Normal"/>
              <w:widowControl w:val="false"/>
              <w:rPr/>
            </w:pPr>
            <w:r>
              <w:rPr>
                <w:sz w:val="28"/>
                <w:szCs w:val="28"/>
                <w:u w:val="single"/>
              </w:rPr>
              <w:t>и технологические ниши.</w:t>
            </w:r>
          </w:p>
        </w:tc>
        <w:tc>
          <w:tcPr>
            <w:tcW w:w="7435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ковши.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рама погрузчика.</w:t>
            </w:r>
          </w:p>
        </w:tc>
      </w:tr>
    </w:tbl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8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right"/>
        <w:rPr>
          <w:sz w:val="24"/>
          <w:szCs w:val="24"/>
        </w:rPr>
      </w:pPr>
      <w:r>
        <w:rPr>
          <w:sz w:val="24"/>
          <w:szCs w:val="24"/>
        </w:rPr>
        <w:t>к Порядку</w:t>
      </w:r>
    </w:p>
    <w:p>
      <w:p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jc w:val="center"/>
        <w:rPr/>
      </w:pPr>
      <w:r>
        <w:rPr>
          <w:b/>
          <w:sz w:val="28"/>
          <w:szCs w:val="32"/>
          <w:lang w:eastAsia="ru-RU"/>
        </w:rPr>
        <w:t>СХЕМА ОСМОТРА АВТОМОБИЛЬНОГО МАНИПУЛЯТОРА</w:t>
      </w:r>
    </w:p>
    <w:p>
      <w:pPr>
        <w:pStyle w:val="Normal"/>
        <w:jc w:val="both"/>
        <w:rPr>
          <w:sz w:val="28"/>
          <w:szCs w:val="28"/>
        </w:rPr>
      </w:pPr>
      <w:r>
        <w:rPr/>
        <w:drawing>
          <wp:inline distT="0" distB="0" distL="0" distR="0">
            <wp:extent cx="9382760" cy="5152390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760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 осмотре автомобильного манипулятора осматриваются 6 основных точек: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tbl>
      <w:tblPr>
        <w:tblW w:w="149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450"/>
        <w:gridCol w:w="7477"/>
      </w:tblGrid>
      <w:tr>
        <w:trPr/>
        <w:tc>
          <w:tcPr>
            <w:tcW w:w="7450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1 </w:t>
            </w:r>
            <w:r>
              <w:rPr>
                <w:sz w:val="28"/>
                <w:szCs w:val="28"/>
                <w:u w:val="single"/>
              </w:rPr>
              <w:t>- кабина водителя: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место под сидением водителя и за ним;</w:t>
            </w:r>
          </w:p>
          <w:p>
            <w:pPr>
              <w:pStyle w:val="Normal"/>
              <w:widowControl w:val="fals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дверца, пол, ящик для перчаток «бардачок», место за приборной доской.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2 </w:t>
            </w:r>
            <w:r>
              <w:rPr>
                <w:sz w:val="28"/>
                <w:szCs w:val="28"/>
                <w:u w:val="single"/>
              </w:rPr>
              <w:t>- отсек двигателя.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3 </w:t>
            </w:r>
            <w:r>
              <w:rPr>
                <w:sz w:val="28"/>
                <w:szCs w:val="28"/>
                <w:u w:val="single"/>
              </w:rPr>
              <w:t>- место управления манипулятора.</w:t>
            </w:r>
          </w:p>
        </w:tc>
        <w:tc>
          <w:tcPr>
            <w:tcW w:w="7477" w:type="dxa"/>
            <w:tcBorders/>
            <w:shd w:color="auto" w:fill="auto" w:val="clear"/>
          </w:tcPr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4 </w:t>
            </w:r>
            <w:r>
              <w:rPr>
                <w:sz w:val="28"/>
                <w:szCs w:val="28"/>
                <w:u w:val="single"/>
              </w:rPr>
              <w:t>- пространство за кабиной и технологические ниши.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5 </w:t>
            </w:r>
            <w:r>
              <w:rPr>
                <w:sz w:val="28"/>
                <w:szCs w:val="28"/>
                <w:u w:val="single"/>
              </w:rPr>
              <w:t>- рама, кузов, опоры.</w:t>
            </w:r>
          </w:p>
          <w:p>
            <w:pPr>
              <w:pStyle w:val="Normal"/>
              <w:widowControl w:val="false"/>
              <w:jc w:val="both"/>
              <w:rPr>
                <w:szCs w:val="28"/>
              </w:rPr>
            </w:pPr>
            <w:r>
              <w:rPr>
                <w:szCs w:val="28"/>
              </w:rPr>
            </w:r>
          </w:p>
          <w:p>
            <w:pPr>
              <w:pStyle w:val="Normal"/>
              <w:widowControl w:val="false"/>
              <w:rPr/>
            </w:pPr>
            <w:r>
              <w:rPr>
                <w:b/>
                <w:sz w:val="28"/>
                <w:szCs w:val="28"/>
                <w:u w:val="single"/>
              </w:rPr>
              <w:t xml:space="preserve">Точка осмотра № 6 </w:t>
            </w:r>
            <w:r>
              <w:rPr>
                <w:sz w:val="28"/>
                <w:szCs w:val="28"/>
                <w:u w:val="single"/>
              </w:rPr>
              <w:t>- рама автомобиля, колесные арки.</w:t>
            </w:r>
          </w:p>
        </w:tc>
      </w:tr>
    </w:tbl>
    <w:p>
      <w:pPr>
        <w:pStyle w:val="Normal"/>
        <w:jc w:val="center"/>
        <w:rPr>
          <w:szCs w:val="32"/>
          <w:lang w:eastAsia="ru-RU"/>
        </w:rPr>
      </w:pPr>
      <w:r>
        <w:rPr>
          <w:szCs w:val="32"/>
          <w:lang w:eastAsia="ru-RU"/>
        </w:rPr>
      </w:r>
    </w:p>
    <w:p>
      <w:pPr>
        <w:sectPr>
          <w:headerReference w:type="even" r:id="rId12"/>
          <w:headerReference w:type="default" r:id="rId13"/>
          <w:headerReference w:type="first" r:id="rId14"/>
          <w:footnotePr>
            <w:numFmt w:val="decimal"/>
          </w:footnotePr>
          <w:type w:val="nextPage"/>
          <w:pgSz w:orient="landscape" w:w="16838" w:h="11906"/>
          <w:pgMar w:left="1134" w:right="992" w:gutter="0" w:header="709" w:top="1701" w:footer="0" w:bottom="851"/>
          <w:pgNumType w:fmt="decimal"/>
          <w:formProt w:val="false"/>
          <w:titlePg/>
          <w:textDirection w:val="lrTb"/>
          <w:docGrid w:type="default" w:linePitch="360" w:charSpace="0"/>
        </w:sectPr>
        <w:pStyle w:val="BodyTextIndent"/>
        <w:tabs>
          <w:tab w:val="clear" w:pos="709"/>
          <w:tab w:val="left" w:pos="1080" w:leader="none"/>
          <w:tab w:val="left" w:pos="3425" w:leader="none"/>
        </w:tabs>
        <w:ind w:hanging="0"/>
        <w:jc w:val="center"/>
        <w:rPr>
          <w:sz w:val="24"/>
          <w:szCs w:val="32"/>
          <w:lang w:eastAsia="ru-RU"/>
        </w:rPr>
      </w:pPr>
      <w:r>
        <w:rPr>
          <w:sz w:val="24"/>
          <w:szCs w:val="32"/>
          <w:lang w:eastAsia="ru-RU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</w:t>
      </w:r>
    </w:p>
    <w:p>
      <w:pPr>
        <w:pStyle w:val="BodyTextIndent"/>
        <w:tabs>
          <w:tab w:val="clear" w:pos="709"/>
          <w:tab w:val="left" w:pos="1080" w:leader="none"/>
        </w:tabs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</w:rPr>
        <w:t>удостоверения Филиала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anchor behindDoc="0" distT="5715" distB="4445" distL="5715" distR="4445" simplePos="0" locked="0" layoutInCell="0" allowOverlap="1" relativeHeight="17">
                <wp:simplePos x="0" y="0"/>
                <wp:positionH relativeFrom="column">
                  <wp:posOffset>1204595</wp:posOffset>
                </wp:positionH>
                <wp:positionV relativeFrom="paragraph">
                  <wp:posOffset>152400</wp:posOffset>
                </wp:positionV>
                <wp:extent cx="4080510" cy="2610485"/>
                <wp:effectExtent l="5715" t="5715" r="4445" b="4445"/>
                <wp:wrapNone/>
                <wp:docPr id="9" name="Group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600" cy="2610360"/>
                          <a:chOff x="0" y="0"/>
                          <a:chExt cx="4080600" cy="261036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4080600" cy="2610360"/>
                          </a:xfrm>
                        </wpg:grpSpPr>
                        <wps:wsp>
                          <wps:cNvSpPr/>
                          <wps:spPr>
                            <a:xfrm>
                              <a:off x="1800" y="0"/>
                              <a:ext cx="4078440" cy="2610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720"/>
                              <a:ext cx="4077360" cy="25578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4077360" cy="81972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0"/>
                                  <a:ext cx="4075920" cy="25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Федеральная гидрогенерирующая компания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440" y="261360"/>
                                  <a:ext cx="4075920" cy="25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  <w:t xml:space="preserve">                                  </w:t>
                                    </w: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 xml:space="preserve">ПАО «РусГидро» - 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440" y="525240"/>
                                  <a:ext cx="4075920" cy="294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FFFFFF"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  <w:t xml:space="preserve">                                  </w:t>
                                    </w: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color w:val="FFFFFF"/>
                                        <w:kern w:val="2"/>
                                      </w:rPr>
                                      <w:t>«Дагестанский филиал»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1800" y="254520"/>
                                <a:ext cx="4074120" cy="230328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1310040" y="576720"/>
                                  <a:ext cx="2763360" cy="1185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FF0000"/>
                                        <w:kern w:val="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color w:val="FF0000"/>
                                        <w:kern w:val="2"/>
                                        <w:sz w:val="20"/>
                                        <w:szCs w:val="20"/>
                                      </w:rPr>
                                      <w:t xml:space="preserve">УДОСТОВЕРЕНИЕ № 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Liberation Serif" w:hAnsi="Liberation Serif" w:eastAsia="Arial Unicode MS" w:cs="Arial Unicode MS"/>
                                        <w:kern w:val="2"/>
                                        <w:lang w:bidi="hi-IN"/>
                                      </w:rPr>
                                    </w:pPr>
                                    <w:r>
                                      <w:rPr>
                                        <w:rFonts w:eastAsia="Arial Unicode MS" w:cs="Arial Unicode MS" w:ascii="Liberation Serif" w:hAnsi="Liberation Serif"/>
                                        <w:kern w:val="2"/>
                                        <w:lang w:bidi="hi-IN"/>
                                      </w:rPr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Фамилия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Имя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</w:rPr>
                                      <w:t>Отчество</w:t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Liberation Serif" w:hAnsi="Liberation Serif" w:eastAsia="Arial Unicode MS" w:cs="Arial Unicode MS"/>
                                        <w:kern w:val="2"/>
                                        <w:lang w:bidi="hi-IN"/>
                                      </w:rPr>
                                    </w:pPr>
                                    <w:r>
                                      <w:rPr>
                                        <w:rFonts w:eastAsia="Arial Unicode MS" w:cs="Arial Unicode MS" w:ascii="Liberation Serif" w:hAnsi="Liberation Serif"/>
                                        <w:kern w:val="2"/>
                                        <w:lang w:bidi="hi-IN"/>
                                      </w:rPr>
                                    </w:r>
                                  </w:p>
                                  <w:p>
                                    <w:pPr>
                                      <w:pStyle w:val="Normal"/>
                                      <w:overflowPunct w:val="false"/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Calibri" w:ascii="Calibri" w:hAnsi="Calibri"/>
                                        <w:b/>
                                        <w:kern w:val="2"/>
                                        <w:sz w:val="20"/>
                                        <w:szCs w:val="20"/>
                                      </w:rPr>
                                      <w:t>должность</w:t>
                                    </w:r>
                                  </w:p>
                                </w:txbxContent>
                              </wps:txbx>
                              <wps:bodyPr lIns="0" rIns="0" tIns="0" bIns="0" anchor="t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4074120" cy="23032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0" name="Picture 18" descr=""/>
                                  <pic:cNvPicPr/>
                                </pic:nvPicPr>
                                <pic:blipFill>
                                  <a:blip r:embed="rId15"/>
                                  <a:srcRect l="949" t="710" r="949" b="2814"/>
                                  <a:stretch/>
                                </pic:blipFill>
                                <pic:spPr>
                                  <a:xfrm>
                                    <a:off x="119520" y="0"/>
                                    <a:ext cx="1179360" cy="1422360"/>
                                  </a:xfrm>
                                  <a:prstGeom prst="rect">
                                    <a:avLst/>
                                  </a:prstGeom>
                                  <a:ln w="0">
                                    <a:noFill/>
                                  </a:ln>
                                </pic:spPr>
                              </pic:pic>
                              <wps:wsp>
                                <wps:cNvSpPr/>
                                <wps:spPr>
                                  <a:xfrm>
                                    <a:off x="104760" y="1484640"/>
                                    <a:ext cx="1193040" cy="344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txbx>
                                  <w:txbxContent>
                                    <w:p>
                                      <w:pPr>
                                        <w:pStyle w:val="Normal"/>
                                        <w:overflowPunct w:val="false"/>
                                        <w:rPr>
                                          <w:rFonts w:ascii="Liberation Serif" w:hAnsi="Liberation Serif" w:eastAsia="Arial Unicode MS" w:cs="Arial Unicode MS"/>
                                          <w:kern w:val="2"/>
                                          <w:lang w:bidi="hi-IN"/>
                                        </w:rPr>
                                      </w:pPr>
                                      <w:r>
                                        <w:rPr>
                                          <w:rFonts w:eastAsia="Arial Unicode MS" w:cs="Arial Unicode MS" w:ascii="Liberation Serif" w:hAnsi="Liberation Serif"/>
                                          <w:kern w:val="2"/>
                                          <w:lang w:bidi="hi-IN"/>
                                        </w:rPr>
                                      </w:r>
                                    </w:p>
                                    <w:p>
                                      <w:pPr>
                                        <w:pStyle w:val="Normal"/>
                                        <w:overflowPunct w:val="false"/>
                                        <w:rPr>
                                          <w:color w:val="FF0000"/>
                                          <w:kern w:val="2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  <w:kern w:val="2"/>
                                          <w:sz w:val="12"/>
                                          <w:szCs w:val="12"/>
                                        </w:rPr>
                                        <w:t>__________________________</w:t>
                                      </w:r>
                                    </w:p>
                                    <w:p>
                                      <w:pPr>
                                        <w:pStyle w:val="Normal"/>
                                        <w:overflowPunct w:val="false"/>
                                        <w:jc w:val="center"/>
                                        <w:rPr>
                                          <w:b/>
                                          <w:i/>
                                          <w:i/>
                                          <w:kern w:val="2"/>
                                          <w:sz w:val="12"/>
                                          <w:szCs w:val="1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i/>
                                          <w:kern w:val="2"/>
                                          <w:sz w:val="12"/>
                                          <w:szCs w:val="12"/>
                                        </w:rPr>
                                        <w:t>Личная подпись</w:t>
                                      </w:r>
                                    </w:p>
                                  </w:txbxContent>
                                </wps:txbx>
                                <wps:bodyPr lIns="0" rIns="0" tIns="0" bIns="0" anchor="t">
                                  <a:noAutofit/>
                                </wps:bodyPr>
                              </wps:wsp>
                              <wps:wsp>
                                <wps:cNvSpPr/>
                                <wps:spPr>
                                  <a:xfrm>
                                    <a:off x="0" y="1905120"/>
                                    <a:ext cx="4074120" cy="39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0">
                                    <a:noFill/>
                                  </a:ln>
                                </wps:spPr>
                                <wps:style>
                                  <a:lnRef idx="0"/>
                                  <a:fillRef idx="0"/>
                                  <a:effectRef idx="0"/>
                                  <a:fontRef idx="minor"/>
                                </wps:style>
                                <wps:txbx>
                                  <w:txbxContent>
                                    <w:p>
                                      <w:pPr>
                                        <w:pStyle w:val="Normal"/>
                                        <w:overflowPunct w:val="false"/>
                                        <w:jc w:val="right"/>
                                        <w:rPr>
                                          <w:rFonts w:ascii="Calibri" w:hAnsi="Calibri" w:cs="Calibri"/>
                                          <w:b/>
                                          <w:color w:val="0000FF"/>
                                          <w:kern w:val="2"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cs="Calibri" w:ascii="Calibri" w:hAnsi="Calibri"/>
                                          <w:b/>
                                          <w:color w:val="0000FF"/>
                                          <w:kern w:val="2"/>
                                          <w:sz w:val="22"/>
                                          <w:szCs w:val="22"/>
                                        </w:rPr>
                                        <w:t>Директор                                 Гамзатов Т.Г.</w:t>
                                      </w:r>
                                    </w:p>
                                  </w:txbxContent>
                                </wps:txbx>
                                <wps:bodyPr lIns="0" rIns="0" tIns="0" bIns="0" anchor="t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SpPr/>
                        <wps:spPr>
                          <a:xfrm>
                            <a:off x="107280" y="2031480"/>
                            <a:ext cx="1193760" cy="208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pStyle w:val="Normal"/>
                                <w:overflowPunct w:val="false"/>
                                <w:rPr>
                                  <w:rFonts w:ascii="Calibri" w:hAnsi="Calibri" w:cs="Calibri"/>
                                  <w:b/>
                                  <w:color w:val="0000FF"/>
                                  <w:kern w:val="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color w:val="0000FF"/>
                                  <w:kern w:val="2"/>
                                  <w:sz w:val="14"/>
                                  <w:szCs w:val="14"/>
                                </w:rPr>
                                <w:t xml:space="preserve">Дата выдачи: </w:t>
                              </w:r>
                              <w:r>
                                <w:rPr>
                                  <w:rFonts w:cs="Calibri" w:ascii="Calibri" w:hAnsi="Calibri"/>
                                  <w:b/>
                                  <w:color w:val="0000FF"/>
                                  <w:kern w:val="2"/>
                                  <w:sz w:val="16"/>
                                  <w:szCs w:val="16"/>
                                </w:rPr>
                                <w:t>01.09.2019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" style="position:absolute;margin-left:94.85pt;margin-top:12pt;width:321.3pt;height:205.55pt" coordorigin="1897,240" coordsize="6426,4111">
                <v:group id="shape_0" style="position:absolute;left:1897;top:240;width:6426;height:4111">
                  <v:rect id="shape_0" path="m0,0l-2147483645,0l-2147483645,-2147483646l0,-2147483646xe" fillcolor="white" stroked="t" o:allowincell="f" style="position:absolute;left:1900;top:240;width:6422;height:4110;mso-wrap-style:none;v-text-anchor:middle">
                    <v:fill o:detectmouseclick="t" type="solid" color2="black"/>
                    <v:stroke color="black" weight="9360" joinstyle="miter" endcap="flat"/>
                    <w10:wrap type="none"/>
                  </v:rect>
                  <v:group id="shape_0" style="position:absolute;left:1897;top:241;width:6421;height:4028">
                    <v:group id="shape_0" style="position:absolute;left:1897;top:241;width:6421;height:1291">
                      <v:rect id="shape_0" path="m0,0l-2147483645,0l-2147483645,-2147483646l0,-2147483646xe" fillcolor="white" stroked="t" o:allowincell="f" style="position:absolute;left:1897;top:241;width:6418;height:393;mso-wrap-style:square;v-text-anchor:top">
                        <v:fill o:detectmouseclick="t" type="solid" color2="black"/>
                        <v:stroke color="black" weight="9360" joinstyle="miter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Федеральная гидрогенерирующая компания</w:t>
                              </w:r>
                            </w:p>
                          </w:txbxContent>
                        </v:textbox>
                        <w10:wrap type="none"/>
                      </v:rect>
                      <v:rect id="shape_0" path="m0,0l-2147483645,0l-2147483645,-2147483646l0,-2147483646xe" fillcolor="blue" stroked="t" o:allowincell="f" style="position:absolute;left:1899;top:653;width:6418;height:393;mso-wrap-style:square;v-text-anchor:top">
                        <v:fill o:detectmouseclick="t" type="solid" color2="yellow"/>
                        <v:stroke color="black" weight="9360" joinstyle="miter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0"/>
                                  <w:szCs w:val="20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 xml:space="preserve">ПАО «РусГидро» - </w:t>
                              </w:r>
                            </w:p>
                          </w:txbxContent>
                        </v:textbox>
                        <w10:wrap type="none"/>
                      </v:rect>
                      <v:rect id="shape_0" path="m0,0l-2147483645,0l-2147483645,-2147483646l0,-2147483646xe" fillcolor="red" stroked="t" o:allowincell="f" style="position:absolute;left:1899;top:1068;width:6418;height:463;mso-wrap-style:square;v-text-anchor:top">
                        <v:fill o:detectmouseclick="t" type="solid" color2="aqua"/>
                        <v:stroke color="black" weight="9360" joinstyle="miter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kern w:val="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0"/>
                                  <w:szCs w:val="20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rFonts w:cs="Calibri" w:ascii="Calibri" w:hAnsi="Calibri"/>
                                  <w:b/>
                                  <w:color w:val="FFFFFF"/>
                                  <w:kern w:val="2"/>
                                </w:rPr>
                                <w:t>«Дагестанский филиал»</w:t>
                              </w:r>
                            </w:p>
                          </w:txbxContent>
                        </v:textbox>
                        <w10:wrap type="none"/>
                      </v:rect>
                    </v:group>
                    <v:group id="shape_0" style="position:absolute;left:1900;top:642;width:6416;height:3627">
                      <v:rect id="shape_0" path="m0,0l-2147483645,0l-2147483645,-2147483646l0,-2147483646xe" stroked="f" o:allowincell="f" style="position:absolute;left:3963;top:1550;width:4351;height:1866;mso-wrap-style:square;v-text-anchor:top">
                        <v:fill o:detectmouseclick="t" on="false"/>
                        <v:stroke color="#3465a4" joinstyle="round" endcap="flat"/>
                        <v:textbox>
                          <w:txbxContent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0000"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color w:val="FF0000"/>
                                  <w:kern w:val="2"/>
                                  <w:sz w:val="20"/>
                                  <w:szCs w:val="20"/>
                                </w:rPr>
                                <w:t xml:space="preserve">УДОСТОВЕРЕНИЕ № 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Liberation Serif" w:hAnsi="Liberation Serif" w:eastAsia="Arial Unicode MS" w:cs="Arial Unicode MS"/>
                                  <w:kern w:val="2"/>
                                  <w:lang w:bidi="hi-IN"/>
                                </w:rPr>
                              </w:pPr>
                              <w:r>
                                <w:rPr>
                                  <w:rFonts w:eastAsia="Arial Unicode MS" w:cs="Arial Unicode MS" w:ascii="Liberation Serif" w:hAnsi="Liberation Serif"/>
                                  <w:kern w:val="2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Фамилия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Имя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</w:rPr>
                                <w:t>Отчество</w:t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Liberation Serif" w:hAnsi="Liberation Serif" w:eastAsia="Arial Unicode MS" w:cs="Arial Unicode MS"/>
                                  <w:kern w:val="2"/>
                                  <w:lang w:bidi="hi-IN"/>
                                </w:rPr>
                              </w:pPr>
                              <w:r>
                                <w:rPr>
                                  <w:rFonts w:eastAsia="Arial Unicode MS" w:cs="Arial Unicode MS" w:ascii="Liberation Serif" w:hAnsi="Liberation Serif"/>
                                  <w:kern w:val="2"/>
                                  <w:lang w:bidi="hi-IN"/>
                                </w:rPr>
                              </w:r>
                            </w:p>
                            <w:p>
                              <w:pPr>
                                <w:pStyle w:val="Normal"/>
                                <w:overflowPunct w:val="false"/>
                                <w:jc w:val="center"/>
                                <w:rPr>
                                  <w:rFonts w:ascii="Calibri" w:hAnsi="Calibri" w:cs="Calibri"/>
                                  <w:b/>
                                  <w:kern w:val="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Calibri" w:ascii="Calibri" w:hAnsi="Calibri"/>
                                  <w:b/>
                                  <w:kern w:val="2"/>
                                  <w:sz w:val="20"/>
                                  <w:szCs w:val="20"/>
                                </w:rPr>
                                <w:t>должность</w:t>
                              </w:r>
                            </w:p>
                          </w:txbxContent>
                        </v:textbox>
                        <w10:wrap type="none"/>
                      </v:rect>
                      <v:group id="shape_0" style="position:absolute;left:1900;top:642;width:6416;height:3627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_0" ID="Picture 18" stroked="f" o:allowincell="f" style="position:absolute;left:2088;top:642;width:1856;height:2239;mso-wrap-style:none;v-text-anchor:middle" type="_x0000_t75">
                          <v:imagedata r:id="rId16" o:detectmouseclick="t"/>
                          <v:stroke color="#3465a4" joinstyle="round" endcap="flat"/>
                          <w10:wrap type="none"/>
                        </v:shape>
                        <v:rect id="shape_0" path="m0,0l-2147483645,0l-2147483645,-2147483646l0,-2147483646xe" stroked="f" o:allowincell="f" style="position:absolute;left:2065;top:2980;width:1878;height:541;mso-wrap-style:square;v-text-anchor:top">
                          <v:fill o:detectmouseclick="t" on="false"/>
                          <v:stroke color="#3465a4" joinstyle="round" endcap="flat"/>
                          <v:textbox>
                            <w:txbxContent>
                              <w:p>
                                <w:pPr>
                                  <w:pStyle w:val="Normal"/>
                                  <w:overflowPunct w:val="false"/>
                                  <w:rPr>
                                    <w:rFonts w:ascii="Liberation Serif" w:hAnsi="Liberation Serif" w:eastAsia="Arial Unicode MS" w:cs="Arial Unicode MS"/>
                                    <w:kern w:val="2"/>
                                    <w:lang w:bidi="hi-IN"/>
                                  </w:rPr>
                                </w:pPr>
                                <w:r>
                                  <w:rPr>
                                    <w:rFonts w:eastAsia="Arial Unicode MS" w:cs="Arial Unicode MS" w:ascii="Liberation Serif" w:hAnsi="Liberation Serif"/>
                                    <w:kern w:val="2"/>
                                    <w:lang w:bidi="hi-IN"/>
                                  </w:rPr>
                                </w:r>
                              </w:p>
                              <w:p>
                                <w:pPr>
                                  <w:pStyle w:val="Normal"/>
                                  <w:overflowPunct w:val="false"/>
                                  <w:rPr>
                                    <w:color w:val="FF0000"/>
                                    <w:kern w:val="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0000"/>
                                    <w:kern w:val="2"/>
                                    <w:sz w:val="12"/>
                                    <w:szCs w:val="12"/>
                                  </w:rPr>
                                  <w:t>__________________________</w:t>
                                </w:r>
                              </w:p>
                              <w:p>
                                <w:pPr>
                                  <w:pStyle w:val="Normal"/>
                                  <w:overflowPunct w:val="false"/>
                                  <w:jc w:val="center"/>
                                  <w:rPr>
                                    <w:b/>
                                    <w:i/>
                                    <w:i/>
                                    <w:kern w:val="2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kern w:val="2"/>
                                    <w:sz w:val="12"/>
                                    <w:szCs w:val="12"/>
                                  </w:rPr>
                                  <w:t>Личная подпись</w:t>
                                </w:r>
                              </w:p>
                            </w:txbxContent>
                          </v:textbox>
                          <w10:wrap type="none"/>
                        </v:rect>
                        <v:rect id="shape_0" path="m0,0l-2147483645,0l-2147483645,-2147483646l0,-2147483646xe" stroked="f" o:allowincell="f" style="position:absolute;left:1900;top:3642;width:6415;height:626;mso-wrap-style:square;v-text-anchor:top">
                          <v:fill o:detectmouseclick="t" on="false"/>
                          <v:stroke color="#3465a4" joinstyle="round" endcap="flat"/>
                          <v:textbox>
                            <w:txbxContent>
                              <w:p>
                                <w:pPr>
                                  <w:pStyle w:val="Normal"/>
                                  <w:overflowPunct w:val="false"/>
                                  <w:jc w:val="right"/>
                                  <w:rPr>
                                    <w:rFonts w:ascii="Calibri" w:hAnsi="Calibri" w:cs="Calibri"/>
                                    <w:b/>
                                    <w:color w:val="0000FF"/>
                                    <w:kern w:val="2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cs="Calibri" w:ascii="Calibri" w:hAnsi="Calibri"/>
                                    <w:b/>
                                    <w:color w:val="0000FF"/>
                                    <w:kern w:val="2"/>
                                    <w:sz w:val="22"/>
                                    <w:szCs w:val="22"/>
                                  </w:rPr>
                                  <w:t>Директор                                 Гамзатов Т.Г.</w:t>
                                </w:r>
                              </w:p>
                            </w:txbxContent>
                          </v:textbox>
                          <w10:wrap type="none"/>
                        </v:rect>
                      </v:group>
                    </v:group>
                  </v:group>
                </v:group>
                <v:rect id="shape_0" path="m0,0l-2147483645,0l-2147483645,-2147483646l0,-2147483646xe" stroked="f" o:allowincell="f" style="position:absolute;left:2066;top:3439;width:1879;height:328;mso-wrap-style:square;v-text-anchor:top">
                  <v:fill o:detectmouseclick="t" on="false"/>
                  <v:stroke color="#3465a4" joinstyle="round" endcap="flat"/>
                  <v:textbox>
                    <w:txbxContent>
                      <w:p>
                        <w:pPr>
                          <w:pStyle w:val="Normal"/>
                          <w:overflowPunct w:val="false"/>
                          <w:rPr>
                            <w:rFonts w:ascii="Calibri" w:hAnsi="Calibri" w:cs="Calibri"/>
                            <w:b/>
                            <w:color w:val="0000FF"/>
                            <w:kern w:val="2"/>
                            <w:sz w:val="16"/>
                            <w:szCs w:val="16"/>
                          </w:rPr>
                        </w:pPr>
                        <w:r>
                          <w:rPr>
                            <w:rFonts w:cs="Calibri" w:ascii="Calibri" w:hAnsi="Calibri"/>
                            <w:b/>
                            <w:color w:val="0000FF"/>
                            <w:kern w:val="2"/>
                            <w:sz w:val="14"/>
                            <w:szCs w:val="14"/>
                          </w:rPr>
                          <w:t xml:space="preserve">Дата выдачи: </w:t>
                        </w:r>
                        <w:r>
                          <w:rPr>
                            <w:rFonts w:cs="Calibri" w:ascii="Calibri" w:hAnsi="Calibri"/>
                            <w:b/>
                            <w:color w:val="0000FF"/>
                            <w:kern w:val="2"/>
                            <w:sz w:val="16"/>
                            <w:szCs w:val="16"/>
                          </w:rPr>
                          <w:t>01.09.2019</w:t>
                        </w:r>
                      </w:p>
                    </w:txbxContent>
                  </v:textbox>
                  <w10:wrap type="none"/>
                </v:rect>
              </v:group>
            </w:pict>
          </mc:Fallback>
        </mc:AlternateContent>
      </w:r>
    </w:p>
    <w:p>
      <w:pPr>
        <w:pStyle w:val="Normal"/>
        <w:tabs>
          <w:tab w:val="clear" w:pos="709"/>
          <w:tab w:val="left" w:pos="993" w:leader="none"/>
          <w:tab w:val="left" w:pos="6288" w:leader="none"/>
        </w:tabs>
        <w:rPr/>
      </w:pPr>
      <w:r>
        <w:rPr/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0" distT="5715" distB="4445" distL="5080" distR="5080" simplePos="0" locked="0" layoutInCell="0" allowOverlap="1" relativeHeight="25">
                <wp:simplePos x="0" y="0"/>
                <wp:positionH relativeFrom="column">
                  <wp:posOffset>1291590</wp:posOffset>
                </wp:positionH>
                <wp:positionV relativeFrom="paragraph">
                  <wp:posOffset>57150</wp:posOffset>
                </wp:positionV>
                <wp:extent cx="1225550" cy="1456055"/>
                <wp:effectExtent l="5080" t="5715" r="5080" b="4445"/>
                <wp:wrapNone/>
                <wp:docPr id="17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440" cy="14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fillcolor="white" stroked="t" o:allowincell="f" style="position:absolute;margin-left:101.7pt;margin-top:4.5pt;width:96.45pt;height:114.6pt;mso-wrap-style:none;v-text-anchor:middle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anchor behindDoc="0" distT="5080" distB="5080" distL="5080" distR="5080" simplePos="0" locked="0" layoutInCell="0" allowOverlap="1" relativeHeight="14">
                <wp:simplePos x="0" y="0"/>
                <wp:positionH relativeFrom="column">
                  <wp:posOffset>1205865</wp:posOffset>
                </wp:positionH>
                <wp:positionV relativeFrom="paragraph">
                  <wp:posOffset>123825</wp:posOffset>
                </wp:positionV>
                <wp:extent cx="4078605" cy="2787650"/>
                <wp:effectExtent l="5080" t="5080" r="5080" b="5080"/>
                <wp:wrapNone/>
                <wp:docPr id="18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8440" cy="2787480"/>
                          <a:chOff x="0" y="0"/>
                          <a:chExt cx="4078440" cy="2787480"/>
                        </a:xfrm>
                      </wpg:grpSpPr>
                      <wps:wsp>
                        <wps:cNvSpPr/>
                        <wps:spPr>
                          <a:xfrm rot="10800000">
                            <a:off x="0" y="0"/>
                            <a:ext cx="4078440" cy="278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Picture 4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 rot="10800000">
                            <a:off x="709920" y="71280"/>
                            <a:ext cx="2733840" cy="2682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94.9pt;margin-top:9.7pt;width:321.15pt;height:219.5pt" coordorigin="1898,194" coordsize="6423,4390">
                <v:rect id="shape_0" path="m0,0l-2147483645,0l-2147483645,-2147483646l0,-2147483646xe" fillcolor="white" stroked="t" o:allowincell="f" style="position:absolute;left:1899;top:195;width:6422;height:4389;mso-wrap-style:none;v-text-anchor:middle;rotation:180">
                  <v:fill o:detectmouseclick="t" type="solid" color2="black"/>
                  <v:stroke color="black" weight="9360" joinstyle="miter" endcap="flat"/>
                  <w10:wrap type="none"/>
                </v:rect>
                <v:shape id="shape_0" ID="Picture 4" stroked="f" o:allowincell="f" style="position:absolute;left:3017;top:307;width:4304;height:4223;mso-wrap-style:none;v-text-anchor:middle;rotation:180" type="_x0000_t75">
                  <v:imagedata r:id="rId18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9"/>
          <w:tab w:val="left" w:pos="2780" w:leader="none"/>
        </w:tabs>
        <w:rPr/>
      </w:pPr>
      <w:r>
        <w:rPr/>
      </w:r>
    </w:p>
    <w:p>
      <w:pPr>
        <w:pStyle w:val="Normal"/>
        <w:rPr>
          <w:i/>
          <w:i/>
        </w:rPr>
      </w:pPr>
      <w:r>
        <w:rPr>
          <w:i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tabs>
          <w:tab w:val="clear" w:pos="709"/>
          <w:tab w:val="left" w:pos="1080" w:leader="none"/>
        </w:tabs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2.1</w:t>
      </w:r>
    </w:p>
    <w:p>
      <w:pPr>
        <w:pStyle w:val="BodyTextIndent"/>
        <w:tabs>
          <w:tab w:val="clear" w:pos="709"/>
          <w:tab w:val="left" w:pos="1080" w:leader="none"/>
        </w:tabs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b/>
          <w:sz w:val="24"/>
        </w:rPr>
      </w:pPr>
      <w:r>
        <w:rPr>
          <w:b/>
          <w:sz w:val="24"/>
        </w:rPr>
        <w:t>постоянного электронного пропуска (проксимити-карта)</w:t>
      </w:r>
    </w:p>
    <w:p>
      <w:pPr>
        <w:pStyle w:val="BodyTextIndent"/>
        <w:tabs>
          <w:tab w:val="clear" w:pos="709"/>
          <w:tab w:val="left" w:pos="108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/>
        <w:drawing>
          <wp:inline distT="0" distB="0" distL="0" distR="0">
            <wp:extent cx="3609975" cy="2027555"/>
            <wp:effectExtent l="0" t="0" r="0" b="0"/>
            <wp:docPr id="1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755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2.2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b/>
          <w:sz w:val="24"/>
        </w:rPr>
      </w:pPr>
      <w:r>
        <w:rPr>
          <w:b/>
          <w:sz w:val="24"/>
        </w:rPr>
        <w:t>временного электронного пропуска для работников, выполняющих работы и / или оказывающих услуги на Объектах 1 и 2 в соответствии с гражданско-правовыми договорами, работникам Филиала, оформленным на работу по срочным трудовым договорам, студентам-практикантам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sz w:val="10"/>
          <w:lang w:eastAsia="ru-RU"/>
        </w:rPr>
      </w:pPr>
      <w:r>
        <w:rPr/>
        <w:drawing>
          <wp:inline distT="0" distB="0" distL="0" distR="0">
            <wp:extent cx="3761105" cy="2075180"/>
            <wp:effectExtent l="0" t="0" r="0" b="0"/>
            <wp:docPr id="2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07518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center"/>
        <w:rPr>
          <w:rFonts w:eastAsia="Times New Roman"/>
          <w:sz w:val="10"/>
        </w:rPr>
      </w:pPr>
      <w:r>
        <w:rPr>
          <w:rFonts w:eastAsia="Times New Roman"/>
          <w:sz w:val="10"/>
        </w:rPr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Приложение 2.3</w:t>
      </w:r>
    </w:p>
    <w:p>
      <w:pPr>
        <w:pStyle w:val="BodyTextIndent"/>
        <w:tabs>
          <w:tab w:val="clear" w:pos="709"/>
          <w:tab w:val="left" w:pos="0" w:leader="none"/>
        </w:tabs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ind w:hanging="0"/>
        <w:jc w:val="center"/>
        <w:rPr>
          <w:b/>
          <w:sz w:val="24"/>
        </w:rPr>
      </w:pPr>
      <w:r>
        <w:rPr>
          <w:b/>
          <w:sz w:val="24"/>
          <w:u w:val="single"/>
        </w:rPr>
        <w:t xml:space="preserve">ОБРАЗЕЦ </w:t>
      </w:r>
    </w:p>
    <w:p>
      <w:pPr>
        <w:pStyle w:val="BodyTextIndent"/>
        <w:ind w:hanging="0"/>
        <w:jc w:val="center"/>
        <w:rPr>
          <w:b/>
          <w:sz w:val="24"/>
        </w:rPr>
      </w:pPr>
      <w:r>
        <w:rPr>
          <w:b/>
          <w:sz w:val="24"/>
        </w:rPr>
        <w:t>разового электронного пропуска</w:t>
      </w:r>
    </w:p>
    <w:p>
      <w:pPr>
        <w:pStyle w:val="Normal"/>
        <w:tabs>
          <w:tab w:val="clear" w:pos="709"/>
          <w:tab w:val="left" w:pos="1560" w:leader="none"/>
        </w:tabs>
        <w:jc w:val="center"/>
        <w:rPr>
          <w:sz w:val="10"/>
        </w:rPr>
      </w:pPr>
      <w:r>
        <w:rPr>
          <w:sz w:val="10"/>
        </w:rPr>
      </w:r>
    </w:p>
    <w:p>
      <w:pPr>
        <w:pStyle w:val="BodyTextIndent"/>
        <w:ind w:hanging="0"/>
        <w:jc w:val="center"/>
        <w:rPr/>
      </w:pPr>
      <w:r>
        <w:rPr/>
        <w:drawing>
          <wp:inline distT="0" distB="0" distL="0" distR="0">
            <wp:extent cx="3673475" cy="2202815"/>
            <wp:effectExtent l="0" t="0" r="0" b="0"/>
            <wp:docPr id="2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2028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2.4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b/>
          <w:u w:val="single"/>
        </w:rPr>
      </w:pPr>
      <w:r>
        <w:rPr>
          <w:b/>
          <w:u w:val="single"/>
        </w:rPr>
        <w:t>Разовый пропуск на бумажном бланке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0739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74"/>
        <w:gridCol w:w="6121"/>
        <w:gridCol w:w="3844"/>
      </w:tblGrid>
      <w:tr>
        <w:trPr>
          <w:trHeight w:val="4365" w:hRule="atLeast"/>
          <w:cantSplit w:val="true"/>
        </w:trPr>
        <w:tc>
          <w:tcPr>
            <w:tcW w:w="7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1" distT="0" distB="0" distL="0" distR="0" simplePos="0" locked="0" layoutInCell="1" allowOverlap="1" relativeHeight="1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-734695</wp:posOffset>
                  </wp:positionV>
                  <wp:extent cx="427990" cy="636905"/>
                  <wp:effectExtent l="0" t="0" r="0" b="0"/>
                  <wp:wrapNone/>
                  <wp:docPr id="2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165" t="-112" r="-165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Дагестанский филиал 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ПАО «РусГидро»</w:t>
            </w:r>
          </w:p>
        </w:tc>
        <w:tc>
          <w:tcPr>
            <w:tcW w:w="61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pBdr>
                <w:bottom w:val="single" w:sz="12" w:space="1" w:color="000000"/>
              </w:pBdr>
              <w:rPr/>
            </w:pPr>
            <w:r>
              <w:rPr/>
              <w:t>Корешок пропуска № ______</w:t>
            </w:r>
          </w:p>
          <w:p>
            <w:pPr>
              <w:pStyle w:val="Normal"/>
              <w:widowControl w:val="false"/>
              <w:pBdr>
                <w:bottom w:val="single" w:sz="12" w:space="1" w:color="000000"/>
              </w:pBdr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«_____» ________________ 20____ г.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Ф.И.О. посетителя_________________________________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                                </w:t>
            </w:r>
            <w:r>
              <w:rPr/>
              <w:t>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Документ, удостоверяющий                                    личность          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Время прихода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Время ухода    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К кому                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Цель посещения   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Лицо, давшее                                                        разрешение           _________________________________</w:t>
            </w:r>
          </w:p>
          <w:p>
            <w:pPr>
              <w:pStyle w:val="Normal"/>
              <w:widowControl w:val="false"/>
              <w:ind w:hanging="141"/>
              <w:jc w:val="center"/>
              <w:rPr/>
            </w:pPr>
            <w:r>
              <w:rPr/>
            </w:r>
          </w:p>
        </w:tc>
        <w:tc>
          <w:tcPr>
            <w:tcW w:w="384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Разовый пропуск № ______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«_____» ______________ 20____ г.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Ф.И.О.________________________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            </w:t>
            </w:r>
            <w:r>
              <w:rPr/>
              <w:t>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 xml:space="preserve">            </w:t>
            </w:r>
            <w:r>
              <w:rPr/>
              <w:t>________________________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Приход 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Уход _______________________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  <w:t>К кому ______________________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  <w:t>Подпись принимающего лица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>
                <w:vertAlign w:val="superscript"/>
              </w:rPr>
            </w:pPr>
            <w:r>
              <w:rPr/>
              <w:t>_____________/________________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vertAlign w:val="superscript"/>
              </w:rPr>
              <w:t xml:space="preserve">      </w:t>
            </w:r>
            <w:r>
              <w:rPr>
                <w:vertAlign w:val="superscript"/>
              </w:rPr>
              <w:t>(подпись)                         (Ф.И.О.)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tabs>
          <w:tab w:val="clear" w:pos="709"/>
          <w:tab w:val="center" w:pos="5037" w:leader="none"/>
        </w:tabs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2.5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p>
      <w:pPr>
        <w:pStyle w:val="Normal"/>
        <w:jc w:val="center"/>
        <w:rPr>
          <w:rFonts w:eastAsia="Arial Unicode MS"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Разовый пропуск на бумажном бланке</w:t>
      </w:r>
    </w:p>
    <w:p>
      <w:pPr>
        <w:pStyle w:val="Normal"/>
        <w:jc w:val="center"/>
        <w:rPr>
          <w:rFonts w:eastAsia="Arial Unicode MS"/>
          <w:szCs w:val="28"/>
        </w:rPr>
      </w:pPr>
      <w:r>
        <w:rPr>
          <w:rFonts w:eastAsia="Arial Unicode MS"/>
          <w:szCs w:val="28"/>
        </w:rPr>
      </w:r>
    </w:p>
    <w:tbl>
      <w:tblPr>
        <w:tblW w:w="10739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774"/>
        <w:gridCol w:w="4881"/>
        <w:gridCol w:w="5084"/>
      </w:tblGrid>
      <w:tr>
        <w:trPr>
          <w:trHeight w:val="4820" w:hRule="atLeast"/>
          <w:cantSplit w:val="true"/>
        </w:trPr>
        <w:tc>
          <w:tcPr>
            <w:tcW w:w="77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  <w:textDirection w:val="btL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drawing>
                <wp:anchor behindDoc="1" distT="0" distB="0" distL="0" distR="0" simplePos="0" locked="0" layoutInCell="1" allowOverlap="1" relativeHeight="1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-734695</wp:posOffset>
                  </wp:positionV>
                  <wp:extent cx="427990" cy="636905"/>
                  <wp:effectExtent l="0" t="0" r="0" b="0"/>
                  <wp:wrapNone/>
                  <wp:docPr id="2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165" t="-112" r="-165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63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Дагестанский филиал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ПАО «РусГидро»</w:t>
            </w:r>
          </w:p>
        </w:tc>
        <w:tc>
          <w:tcPr>
            <w:tcW w:w="488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КОРЕШОК ПРОПУСКА № 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«________» час «________» мин.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«_____» ____________ 20_____г.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Ф 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И. 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О. 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А/т ________________ № 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 кому 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Кто разрешил __________________________</w:t>
            </w:r>
          </w:p>
          <w:p>
            <w:pPr>
              <w:pStyle w:val="Normal"/>
              <w:widowControl w:val="false"/>
              <w:rPr>
                <w:sz w:val="16"/>
                <w:szCs w:val="16"/>
              </w:rPr>
            </w:pPr>
            <w:r>
              <w:rPr>
                <w:rFonts w:eastAsia="Arial Unicode MS"/>
              </w:rPr>
              <w:t>Выдан по 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</w:t>
            </w:r>
            <w:r>
              <w:rPr>
                <w:rFonts w:eastAsia="Arial Unicode MS"/>
                <w:sz w:val="16"/>
                <w:szCs w:val="16"/>
              </w:rPr>
              <w:t>(документу)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(нач. смены охраны) 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sz w:val="16"/>
                <w:szCs w:val="14"/>
              </w:rPr>
              <w:t xml:space="preserve">                            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rFonts w:eastAsia="Arial Unicode MS"/>
                <w:sz w:val="16"/>
                <w:szCs w:val="14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(постовой) 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sz w:val="16"/>
                <w:szCs w:val="14"/>
              </w:rPr>
              <w:t xml:space="preserve">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</w:tc>
        <w:tc>
          <w:tcPr>
            <w:tcW w:w="508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РАЗОВЫЙ ПРОПУСК № 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«________» час «________» мин.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«_____» ____________ 20_____г.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Ф ______________________________________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И. ______________________________________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О. ______________________________________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А/т _________________ № 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 кому _________________________________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</w:rPr>
            </w:pPr>
            <w:r>
              <w:rPr>
                <w:rFonts w:eastAsia="Arial Unicode MS"/>
              </w:rPr>
              <w:t>Кто разрешил ____________________________</w:t>
            </w:r>
          </w:p>
          <w:p>
            <w:pPr>
              <w:pStyle w:val="Normal"/>
              <w:widowControl w:val="false"/>
              <w:rPr>
                <w:sz w:val="16"/>
                <w:szCs w:val="16"/>
              </w:rPr>
            </w:pPr>
            <w:r>
              <w:rPr>
                <w:rFonts w:eastAsia="Arial Unicode MS"/>
              </w:rPr>
              <w:t>Выдан по _______________________________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</w:t>
            </w:r>
            <w:r>
              <w:rPr>
                <w:rFonts w:eastAsia="Arial Unicode MS"/>
                <w:sz w:val="16"/>
                <w:szCs w:val="16"/>
              </w:rPr>
              <w:t>(документу)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6"/>
              </w:rPr>
            </w:pPr>
            <w:r>
              <w:rPr>
                <w:rFonts w:eastAsia="Arial Unicode MS"/>
                <w:sz w:val="16"/>
                <w:szCs w:val="16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(нач. смены охраны) _______________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sz w:val="16"/>
                <w:szCs w:val="14"/>
              </w:rPr>
              <w:t xml:space="preserve">                                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  <w:p>
            <w:pPr>
              <w:pStyle w:val="Normal"/>
              <w:widowControl w:val="false"/>
              <w:rPr>
                <w:rFonts w:eastAsia="Arial Unicode MS"/>
                <w:sz w:val="16"/>
                <w:szCs w:val="14"/>
              </w:rPr>
            </w:pPr>
            <w:r>
              <w:rPr>
                <w:rFonts w:eastAsia="Arial Unicode MS"/>
                <w:sz w:val="16"/>
                <w:szCs w:val="14"/>
              </w:rPr>
            </w:r>
          </w:p>
          <w:p>
            <w:pPr>
              <w:pStyle w:val="Normal"/>
              <w:widowControl w:val="false"/>
              <w:rPr>
                <w:sz w:val="16"/>
                <w:szCs w:val="14"/>
              </w:rPr>
            </w:pPr>
            <w:r>
              <w:rPr>
                <w:rFonts w:eastAsia="Arial Unicode MS"/>
                <w:szCs w:val="20"/>
              </w:rPr>
              <w:t>Ф.И.О. (постовой) 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sz w:val="16"/>
                <w:szCs w:val="14"/>
              </w:rPr>
              <w:t xml:space="preserve">                                                                 </w:t>
            </w:r>
            <w:r>
              <w:rPr>
                <w:rFonts w:eastAsia="Arial Unicode MS"/>
                <w:sz w:val="16"/>
                <w:szCs w:val="14"/>
              </w:rPr>
              <w:t>(подпись)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3.1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36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980"/>
        <w:gridCol w:w="4379"/>
      </w:tblGrid>
      <w:tr>
        <w:trPr>
          <w:trHeight w:val="2310" w:hRule="atLeast"/>
        </w:trPr>
        <w:tc>
          <w:tcPr>
            <w:tcW w:w="4980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 xml:space="preserve">Начальник Отдела управления персоналом 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</w:tc>
        <w:tc>
          <w:tcPr>
            <w:tcW w:w="4379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Начальник Службы безопасности 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постоянного электронного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В связи с назначением на должность 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rPr/>
      </w:pPr>
      <w:r>
        <w:rPr>
          <w:sz w:val="20"/>
          <w:szCs w:val="20"/>
        </w:rPr>
        <w:t>название должности и структурного подразделения Филиала ПАО «РусГидро» - «Дагестанский филиал»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rPr/>
      </w:pPr>
      <w:r>
        <w:rPr>
          <w:sz w:val="20"/>
          <w:szCs w:val="20"/>
        </w:rPr>
        <w:t>фамилия, имя, отчество</w:t>
      </w:r>
    </w:p>
    <w:p>
      <w:pPr>
        <w:pStyle w:val="BodyTextIndent"/>
        <w:ind w:hanging="0"/>
        <w:rPr/>
      </w:pPr>
      <w:r>
        <w:rPr/>
        <w:t>приказ от __________________________________ № _____________________</w:t>
      </w:r>
    </w:p>
    <w:p>
      <w:pPr>
        <w:pStyle w:val="BodyTextIndent"/>
        <w:ind w:hanging="0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прошу оформить постоянный электронный пропуск и установить права допуска на Объект ___________________________________________________________</w:t>
      </w:r>
    </w:p>
    <w:p>
      <w:pPr>
        <w:pStyle w:val="BodyTextIndent"/>
        <w:ind w:hanging="0"/>
        <w:rPr/>
      </w:pPr>
      <w:r>
        <w:rPr>
          <w:sz w:val="20"/>
          <w:szCs w:val="20"/>
        </w:rPr>
        <w:t>в рабочие дни, круглосуточно, в режимные секторы (указать название секторов)</w:t>
      </w:r>
    </w:p>
    <w:p>
      <w:pPr>
        <w:pStyle w:val="BodyTextIndent"/>
        <w:ind w:hanging="0"/>
        <w:rPr/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3.2</w:t>
      </w:r>
    </w:p>
    <w:p>
      <w:pPr>
        <w:pStyle w:val="BodyTextIndent"/>
        <w:ind w:hanging="142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2"/>
        </w:rPr>
      </w:pPr>
      <w:r>
        <w:rPr>
          <w:sz w:val="22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100"/>
        <w:gridCol w:w="4244"/>
      </w:tblGrid>
      <w:tr>
        <w:trPr>
          <w:trHeight w:val="2040" w:hRule="atLeast"/>
        </w:trPr>
        <w:tc>
          <w:tcPr>
            <w:tcW w:w="5100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 xml:space="preserve">Начальник Отдела управления персоналом 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i/>
                <w:i/>
                <w:iCs/>
              </w:rPr>
            </w:pPr>
            <w:r>
              <w:rPr>
                <w:i/>
                <w:iCs/>
              </w:rPr>
              <w:t>(при необходимости)</w:t>
            </w:r>
          </w:p>
        </w:tc>
        <w:tc>
          <w:tcPr>
            <w:tcW w:w="4244" w:type="dxa"/>
            <w:tcBorders/>
            <w:shd w:color="auto" w:fill="auto" w:val="clear"/>
          </w:tcPr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Начальник Службы безопасности Филиала ПАО «РусГидро» - «Дагестанский филиал»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0" w:right="0" w:hanging="0"/>
              <w:jc w:val="left"/>
              <w:rPr/>
            </w:pPr>
            <w:r>
              <w:rPr/>
              <w:t>___________________________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временного электронного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В связи с 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0"/>
          <w:szCs w:val="20"/>
        </w:rPr>
      </w:pPr>
      <w:r>
        <w:rPr>
          <w:sz w:val="20"/>
          <w:szCs w:val="20"/>
        </w:rPr>
        <w:t>обоснование выдачи временного пропуска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прошу оформить временный электронный пропуск гражданину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фамилия, имя, отчество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паспортные данные</w:t>
      </w:r>
    </w:p>
    <w:p>
      <w:pPr>
        <w:pStyle w:val="BodyTextIndent"/>
        <w:ind w:hanging="0"/>
        <w:rPr/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сроком действия до «____» ____________ 20___г. и установить права допуска на Объект ____ 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в рабочие дни, круглосуточно, в режимные секторы (указать название секторов)</w:t>
      </w:r>
    </w:p>
    <w:p>
      <w:pPr>
        <w:pStyle w:val="BodyTextIndent"/>
        <w:ind w:hanging="0"/>
        <w:jc w:val="center"/>
        <w:rPr>
          <w:sz w:val="24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на основании заключенного договора 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(указать реквизиты договора)</w:t>
      </w:r>
    </w:p>
    <w:p>
      <w:pPr>
        <w:pStyle w:val="BodyTextIndent"/>
        <w:ind w:hanging="0"/>
        <w:jc w:val="center"/>
        <w:rPr>
          <w:sz w:val="24"/>
          <w:szCs w:val="28"/>
        </w:rPr>
      </w:pPr>
      <w:r>
        <w:rPr>
          <w:sz w:val="24"/>
          <w:szCs w:val="28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  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>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4.1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8"/>
        <w:gridCol w:w="3836"/>
      </w:tblGrid>
      <w:tr>
        <w:trPr/>
        <w:tc>
          <w:tcPr>
            <w:tcW w:w="5508" w:type="dxa"/>
            <w:tcBorders/>
            <w:shd w:color="auto" w:fill="auto" w:val="clear"/>
          </w:tcPr>
          <w:p>
            <w:pPr>
              <w:pStyle w:val="BodyTextIndent"/>
              <w:widowControl w:val="false"/>
              <w:snapToGrid w:val="false"/>
              <w:ind w:hanging="0"/>
              <w:jc w:val="left"/>
              <w:rPr/>
            </w:pPr>
            <w:r>
              <w:rPr/>
            </w:r>
          </w:p>
        </w:tc>
        <w:tc>
          <w:tcPr>
            <w:tcW w:w="3836" w:type="dxa"/>
            <w:tcBorders/>
            <w:shd w:color="auto" w:fill="auto" w:val="clear"/>
          </w:tcPr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Бюро пропусков</w:t>
            </w:r>
          </w:p>
          <w:p>
            <w:pPr>
              <w:pStyle w:val="BodyTextIndent"/>
              <w:widowControl w:val="false"/>
              <w:suppressAutoHyphens w:val="true"/>
              <w:bidi w:val="0"/>
              <w:spacing w:before="0" w:after="0"/>
              <w:ind w:left="113" w:right="113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разового электронного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/>
      </w:pPr>
      <w:r>
        <w:rPr/>
        <w:t>На «_____» ________________ 20___ г.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Куда: 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структурное подразделение ПАО «РусГидро</w:t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>
          <w:sz w:val="20"/>
          <w:szCs w:val="20"/>
        </w:rPr>
      </w:pPr>
      <w:r>
        <w:rPr>
          <w:sz w:val="20"/>
          <w:szCs w:val="20"/>
        </w:rPr>
        <w:t>№</w:t>
      </w:r>
      <w:r>
        <w:rPr>
          <w:rFonts w:eastAsia="Times New Roman"/>
          <w:sz w:val="20"/>
          <w:szCs w:val="20"/>
        </w:rPr>
        <w:t xml:space="preserve"> </w:t>
      </w:r>
      <w:r>
        <w:rPr>
          <w:sz w:val="20"/>
          <w:szCs w:val="20"/>
        </w:rPr>
        <w:t>комнаты, № телефона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на основании заключенного договора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</w:rPr>
        <w:t>(указать реквизиты договора)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tbl>
      <w:tblPr>
        <w:tblW w:w="982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30"/>
        <w:gridCol w:w="2718"/>
        <w:gridCol w:w="1965"/>
        <w:gridCol w:w="2172"/>
        <w:gridCol w:w="2343"/>
      </w:tblGrid>
      <w:tr>
        <w:trPr>
          <w:trHeight w:val="1100" w:hRule="atLeast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№</w:t>
            </w:r>
            <w:r>
              <w:rPr>
                <w:rFonts w:eastAsia="Times New Roman"/>
              </w:rPr>
              <w:t xml:space="preserve"> </w:t>
            </w:r>
            <w:r>
              <w:rPr/>
              <w:t>п/п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Ф.И.О.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Организация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К кому следует (Ф.И.О. должность)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Автомобиль (марка, гос. номер)</w:t>
            </w:r>
          </w:p>
        </w:tc>
      </w:tr>
      <w:tr>
        <w:trPr/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</w:tbl>
    <w:p>
      <w:pPr>
        <w:pStyle w:val="BodyTextIndent"/>
        <w:ind w:hanging="0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/>
      </w:pPr>
      <w:r>
        <w:rPr/>
        <w:t>Ответственный за встречу и сопровождение:</w:t>
      </w:r>
    </w:p>
    <w:p>
      <w:pPr>
        <w:pStyle w:val="BodyTextIndent"/>
        <w:ind w:hanging="0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rPr/>
      </w:pPr>
      <w:r>
        <w:rPr/>
        <w:t>____________________   ______________________     _________________</w:t>
      </w:r>
    </w:p>
    <w:p>
      <w:pPr>
        <w:pStyle w:val="BodyTextIndent"/>
        <w:ind w:hanging="0"/>
        <w:jc w:val="left"/>
        <w:rPr>
          <w:sz w:val="16"/>
          <w:szCs w:val="16"/>
        </w:rPr>
      </w:pPr>
      <w:r>
        <w:rPr/>
        <w:tab/>
      </w:r>
      <w:r>
        <w:rPr>
          <w:sz w:val="16"/>
          <w:szCs w:val="16"/>
        </w:rPr>
        <w:t xml:space="preserve">     должность</w:t>
        <w:tab/>
        <w:tab/>
        <w:t xml:space="preserve"> </w:t>
        <w:tab/>
        <w:tab/>
        <w:t>сопровождающего</w:t>
        <w:tab/>
        <w:tab/>
        <w:tab/>
        <w:t>фамилия, инициалы</w:t>
      </w:r>
    </w:p>
    <w:p>
      <w:pPr>
        <w:pStyle w:val="BodyTextIndent"/>
        <w:ind w:hanging="0"/>
        <w:jc w:val="left"/>
        <w:rPr>
          <w:sz w:val="24"/>
          <w:szCs w:val="16"/>
        </w:rPr>
      </w:pPr>
      <w:r>
        <w:rPr>
          <w:sz w:val="24"/>
          <w:szCs w:val="16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16"/>
          <w:szCs w:val="16"/>
        </w:rPr>
      </w:pPr>
      <w:r>
        <w:rPr/>
        <w:t>______________________   ____________________ 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16"/>
          <w:szCs w:val="16"/>
        </w:rPr>
        <w:t>Руководитель структурного подразделения</w:t>
      </w:r>
      <w:r>
        <w:rPr>
          <w:sz w:val="20"/>
          <w:szCs w:val="20"/>
        </w:rPr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</w:p>
    <w:p>
      <w:pPr>
        <w:pStyle w:val="BodyTextIndent"/>
        <w:pBdr>
          <w:bottom w:val="single" w:sz="12" w:space="1" w:color="000000"/>
        </w:pBdr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4.2</w:t>
      </w:r>
    </w:p>
    <w:p>
      <w:pPr>
        <w:pStyle w:val="BodyTextIndent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2"/>
        </w:rPr>
      </w:pPr>
      <w:r>
        <w:rPr>
          <w:sz w:val="22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02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9"/>
        <w:gridCol w:w="4784"/>
      </w:tblGrid>
      <w:tr>
        <w:trPr/>
        <w:tc>
          <w:tcPr>
            <w:tcW w:w="5509" w:type="dxa"/>
            <w:tcBorders/>
            <w:shd w:color="auto" w:fill="auto" w:val="clear"/>
          </w:tcPr>
          <w:p>
            <w:pPr>
              <w:pStyle w:val="BodyTextIndent"/>
              <w:widowControl w:val="false"/>
              <w:snapToGrid w:val="false"/>
              <w:ind w:hanging="0"/>
              <w:jc w:val="left"/>
              <w:rPr/>
            </w:pPr>
            <w:r>
              <w:rPr/>
            </w:r>
          </w:p>
        </w:tc>
        <w:tc>
          <w:tcPr>
            <w:tcW w:w="4784" w:type="dxa"/>
            <w:tcBorders/>
            <w:shd w:color="auto" w:fill="auto" w:val="clear"/>
          </w:tcPr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Бюро пропусков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</w:tc>
      </w:tr>
    </w:tbl>
    <w:p>
      <w:pPr>
        <w:pStyle w:val="BodyTextIndent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Indent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Indent"/>
        <w:ind w:hanging="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Indent"/>
        <w:ind w:hanging="0"/>
        <w:jc w:val="center"/>
        <w:rPr/>
      </w:pPr>
      <w:r>
        <w:rPr/>
        <w:t>Об оформлении разового электронного пропуска иностранному гражданину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 xml:space="preserve">Прошу организовать доступ иностранного гражданина на Объект ____________ «____» ___________20___ г. в __________ч. __________мин. 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К кому: 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структурное подразделение Филиала ПАО «РусГидро» - «Дагестанский филиал»,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№</w:t>
      </w:r>
      <w:r>
        <w:rPr>
          <w:rFonts w:eastAsia="Times New Roman"/>
          <w:sz w:val="20"/>
          <w:szCs w:val="20"/>
        </w:rPr>
        <w:t xml:space="preserve"> </w:t>
      </w:r>
      <w:r>
        <w:rPr>
          <w:sz w:val="20"/>
          <w:szCs w:val="20"/>
        </w:rPr>
        <w:t>комнаты, № телефона</w:t>
      </w:r>
    </w:p>
    <w:p>
      <w:pPr>
        <w:pStyle w:val="BodyTextIndent"/>
        <w:ind w:hanging="0"/>
        <w:rPr/>
      </w:pPr>
      <w:r>
        <w:rPr/>
        <w:t>Ответственный за мероприятие, встречу и сопровождение ________________</w:t>
      </w:r>
    </w:p>
    <w:p>
      <w:pPr>
        <w:pStyle w:val="BodyTextIndent"/>
        <w:ind w:hanging="0"/>
        <w:jc w:val="center"/>
        <w:rPr>
          <w:sz w:val="24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ab/>
        <w:tab/>
        <w:tab/>
        <w:tab/>
        <w:tab/>
      </w:r>
      <w:r>
        <w:rPr>
          <w:sz w:val="20"/>
          <w:szCs w:val="20"/>
        </w:rPr>
        <w:t>Ф.И.О., № кабинета, телефон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rPr>
          <w:sz w:val="20"/>
          <w:szCs w:val="20"/>
        </w:rPr>
      </w:pPr>
      <w:r>
        <w:rPr/>
        <w:t>на основании заключенного договора  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</w:rPr>
        <w:t>(указать реквизиты договора)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tbl>
      <w:tblPr>
        <w:tblW w:w="964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48"/>
        <w:gridCol w:w="2695"/>
        <w:gridCol w:w="2345"/>
        <w:gridCol w:w="1794"/>
        <w:gridCol w:w="2166"/>
      </w:tblGrid>
      <w:tr>
        <w:trPr>
          <w:trHeight w:val="1063" w:hRule="atLeast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№</w:t>
            </w:r>
            <w:r>
              <w:rPr>
                <w:rFonts w:eastAsia="Times New Roman"/>
              </w:rPr>
              <w:t xml:space="preserve"> </w:t>
            </w:r>
            <w:r>
              <w:rPr/>
              <w:t>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Ф.И.О.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Организация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Гражданство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/>
              <w:t>Автомобиль (марка, гос. номер)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/>
            </w:pPr>
            <w:r>
              <w:rPr/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  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  <w:r>
        <w:br w:type="page"/>
      </w:r>
    </w:p>
    <w:p>
      <w:pPr>
        <w:pStyle w:val="BodyTextIndent"/>
        <w:ind w:firstLine="5580"/>
        <w:jc w:val="right"/>
        <w:rPr>
          <w:sz w:val="24"/>
        </w:rPr>
      </w:pPr>
      <w:r>
        <w:rPr>
          <w:sz w:val="24"/>
        </w:rPr>
        <w:t>Приложение 5</w:t>
      </w:r>
    </w:p>
    <w:p>
      <w:pPr>
        <w:pStyle w:val="BodyTextIndent"/>
        <w:ind w:firstLine="558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02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9"/>
        <w:gridCol w:w="4784"/>
      </w:tblGrid>
      <w:tr>
        <w:trPr/>
        <w:tc>
          <w:tcPr>
            <w:tcW w:w="5509" w:type="dxa"/>
            <w:tcBorders/>
            <w:shd w:color="auto" w:fill="auto" w:val="clear"/>
          </w:tcPr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СОГЛАСОВАНО</w:t>
            </w:r>
          </w:p>
          <w:p>
            <w:pPr>
              <w:pStyle w:val="BodyTextIndent"/>
              <w:widowControl w:val="false"/>
              <w:ind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hanging="5580"/>
              <w:jc w:val="left"/>
              <w:rPr/>
            </w:pPr>
            <w:r>
              <w:rPr/>
              <w:t>Начальник Службы безопасности,</w:t>
            </w:r>
          </w:p>
          <w:p>
            <w:pPr>
              <w:pStyle w:val="BodyTextIndent"/>
              <w:widowControl w:val="false"/>
              <w:ind w:left="5580" w:hanging="5580"/>
              <w:jc w:val="left"/>
              <w:rPr/>
            </w:pPr>
            <w:r>
              <w:rPr/>
              <w:t xml:space="preserve">Начальник Службы безопасности 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 xml:space="preserve">Филиала ПАО «РусГидро» - 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«Дагестанский филиал»</w:t>
            </w:r>
          </w:p>
          <w:p>
            <w:pPr>
              <w:pStyle w:val="BodyTextIndent"/>
              <w:widowControl w:val="false"/>
              <w:ind w:hanging="0"/>
              <w:jc w:val="left"/>
              <w:rPr/>
            </w:pPr>
            <w:r>
              <w:rPr/>
              <w:t>___________________________</w:t>
            </w:r>
          </w:p>
        </w:tc>
        <w:tc>
          <w:tcPr>
            <w:tcW w:w="4784" w:type="dxa"/>
            <w:tcBorders/>
            <w:shd w:color="auto" w:fill="auto" w:val="clear"/>
          </w:tcPr>
          <w:p>
            <w:pPr>
              <w:pStyle w:val="BodyTextIndent"/>
              <w:widowControl w:val="false"/>
              <w:snapToGrid w:val="false"/>
              <w:ind w:left="586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left="586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left="586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BodyTextIndent"/>
              <w:widowControl w:val="false"/>
              <w:ind w:left="586" w:hanging="0"/>
              <w:jc w:val="left"/>
              <w:rPr/>
            </w:pPr>
            <w:r>
              <w:rPr/>
              <w:t>Бюро пропусков</w:t>
            </w:r>
          </w:p>
          <w:p>
            <w:pPr>
              <w:pStyle w:val="BodyTextIndent"/>
              <w:widowControl w:val="false"/>
              <w:ind w:left="586" w:hanging="0"/>
              <w:jc w:val="left"/>
              <w:rPr/>
            </w:pPr>
            <w:r>
              <w:rPr/>
              <w:t>Филиала ПАО «РусГидро» - «Дагестанский филиал»</w:t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Список</w:t>
      </w:r>
    </w:p>
    <w:p>
      <w:pPr>
        <w:pStyle w:val="BodyTextIndent"/>
        <w:ind w:hanging="0"/>
        <w:jc w:val="center"/>
        <w:rPr/>
      </w:pPr>
      <w:r>
        <w:rPr/>
        <w:t>на доступ посетителей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Прошу организовать доступ посетителей (автотранспорта) на Объект __ для участия «___» _____________20___г. в ________ч. _______мин. в_________________________________________________________________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название проводимого мероприятия</w:t>
      </w:r>
    </w:p>
    <w:p>
      <w:pPr>
        <w:pStyle w:val="BodyTextIndent"/>
        <w:ind w:hanging="0"/>
        <w:rPr/>
      </w:pPr>
      <w:r>
        <w:rPr/>
        <w:t>Место проведения ____________________________________________________</w:t>
      </w:r>
    </w:p>
    <w:p>
      <w:pPr>
        <w:pStyle w:val="BodyTextIndent"/>
        <w:ind w:hanging="0"/>
        <w:rPr/>
      </w:pPr>
      <w:r>
        <w:rPr/>
        <w:t>Организатор мероприятия _____________________________________________</w:t>
      </w:r>
    </w:p>
    <w:p>
      <w:pPr>
        <w:pStyle w:val="BodyTextIndent"/>
        <w:ind w:hanging="0"/>
        <w:rPr/>
      </w:pPr>
      <w:r>
        <w:rPr/>
        <w:tab/>
        <w:tab/>
        <w:tab/>
      </w:r>
      <w:r>
        <w:rPr>
          <w:sz w:val="20"/>
          <w:szCs w:val="20"/>
        </w:rPr>
        <w:t>структурное подразделение Филиала ПАО «РусГидро» - «Дагестанский филиал»</w:t>
      </w:r>
    </w:p>
    <w:p>
      <w:pPr>
        <w:pStyle w:val="BodyTextIndent"/>
        <w:ind w:hanging="0"/>
        <w:rPr/>
      </w:pPr>
      <w:r>
        <w:rPr/>
        <w:t>Ответственный за мероприятие 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ab/>
        <w:tab/>
        <w:tab/>
        <w:tab/>
        <w:t xml:space="preserve">                                 </w:t>
      </w:r>
      <w:r>
        <w:rPr>
          <w:sz w:val="20"/>
          <w:szCs w:val="20"/>
        </w:rPr>
        <w:t>Ф.И.О., № кабинета, телефон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tbl>
      <w:tblPr>
        <w:tblW w:w="93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550"/>
        <w:gridCol w:w="4025"/>
        <w:gridCol w:w="2355"/>
        <w:gridCol w:w="2439"/>
      </w:tblGrid>
      <w:tr>
        <w:trPr>
          <w:trHeight w:val="657" w:hRule="atLeast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rFonts w:eastAsia="Times New Roman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Ф. И. О.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Автомобиль </w:t>
            </w:r>
          </w:p>
          <w:p>
            <w:pPr>
              <w:pStyle w:val="BodyTextIndent"/>
              <w:widowControl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  <w:t>(марка, гос. номер)</w:t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  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 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6</w:t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Бюро пропусков</w:t>
      </w:r>
    </w:p>
    <w:p>
      <w:pPr>
        <w:pStyle w:val="BodyTextIndent"/>
        <w:ind w:hanging="0"/>
        <w:jc w:val="center"/>
        <w:rPr>
          <w:strike/>
        </w:rPr>
      </w:pPr>
      <w:r>
        <w:rPr/>
        <w:t>Филиала ПАО «РусГидро» - «Дагестанский филиал»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>Заявка</w:t>
      </w:r>
    </w:p>
    <w:p>
      <w:pPr>
        <w:pStyle w:val="BodyTextIndent"/>
        <w:ind w:hanging="0"/>
        <w:jc w:val="center"/>
        <w:rPr/>
      </w:pPr>
      <w:r>
        <w:rPr/>
        <w:t xml:space="preserve">на изменение режима допуска на Объект </w:t>
      </w:r>
    </w:p>
    <w:p>
      <w:pPr>
        <w:pStyle w:val="BodyTextIndent"/>
        <w:ind w:hanging="0"/>
        <w:jc w:val="center"/>
        <w:rPr/>
      </w:pPr>
      <w:r>
        <w:rPr/>
        <w:t>(в выходные, нерабочие праздничные дни и в нерабочее время)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firstLine="851"/>
        <w:rPr/>
      </w:pPr>
      <w:r>
        <w:rPr/>
        <w:t>В связи с 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обоснование изменения режима допуска на Объект</w:t>
      </w:r>
    </w:p>
    <w:p>
      <w:pPr>
        <w:pStyle w:val="BodyTextIndent"/>
        <w:ind w:hanging="0"/>
        <w:rPr/>
      </w:pPr>
      <w:r>
        <w:rPr/>
        <w:t>прошу организовать допуск на Объект __________________________________ филиала ПАО «РусГидро» - «Дагестанский филиал» «____» _________20___г. в _____ час. ____мин.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название должности и структурное подразделение филиала ПАО «РусГидро» - «Дагестанский филиал»</w:t>
      </w:r>
    </w:p>
    <w:p>
      <w:pPr>
        <w:pStyle w:val="BodyTextIndent"/>
        <w:ind w:hanging="0"/>
        <w:rPr/>
      </w:pPr>
      <w:r>
        <w:rPr/>
        <w:t>__________________________________________________________________</w:t>
      </w:r>
    </w:p>
    <w:p>
      <w:pPr>
        <w:pStyle w:val="BodyTextIndent"/>
        <w:ind w:hanging="0"/>
        <w:rPr>
          <w:sz w:val="20"/>
          <w:szCs w:val="20"/>
        </w:rPr>
      </w:pPr>
      <w:r>
        <w:rPr/>
        <w:t>__________________________________________________________________</w:t>
      </w:r>
    </w:p>
    <w:p>
      <w:pPr>
        <w:pStyle w:val="BodyTextIndent"/>
        <w:ind w:hanging="0"/>
        <w:jc w:val="center"/>
        <w:rPr/>
      </w:pPr>
      <w:r>
        <w:rPr>
          <w:sz w:val="20"/>
          <w:szCs w:val="20"/>
        </w:rPr>
        <w:t>фамилия, имя, отчество</w:t>
      </w:r>
    </w:p>
    <w:p>
      <w:pPr>
        <w:pStyle w:val="BodyTextIndent"/>
        <w:ind w:hanging="0"/>
        <w:rPr>
          <w:sz w:val="24"/>
        </w:rPr>
      </w:pPr>
      <w:r>
        <w:rPr/>
        <w:t>в помещение __________________________________ тел. __________________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/>
        <w:t>__________________________________________  ______________________</w:t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ab/>
        <w:t xml:space="preserve">     должность</w:t>
        <w:tab/>
        <w:tab/>
        <w:tab/>
        <w:tab/>
        <w:t>подпись</w:t>
        <w:tab/>
        <w:tab/>
        <w:tab/>
        <w:tab/>
        <w:t>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>
          <w:sz w:val="20"/>
          <w:szCs w:val="20"/>
        </w:rPr>
      </w:pPr>
      <w:r>
        <w:rPr>
          <w:sz w:val="20"/>
          <w:szCs w:val="20"/>
        </w:rPr>
        <w:t>Начальник СБ</w:t>
      </w:r>
      <w:r>
        <w:rPr/>
        <w:t xml:space="preserve">                         ____________________   _______________________</w:t>
      </w:r>
      <w:r>
        <w:rPr>
          <w:sz w:val="20"/>
          <w:szCs w:val="20"/>
        </w:rPr>
        <w:tab/>
        <w:tab/>
        <w:tab/>
        <w:t xml:space="preserve">                                                           подпись                                      фамилия, инициалы</w:t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center"/>
        <w:rPr>
          <w:sz w:val="24"/>
          <w:szCs w:val="20"/>
        </w:rPr>
      </w:pPr>
      <w:r>
        <w:rPr>
          <w:sz w:val="24"/>
          <w:szCs w:val="20"/>
        </w:rPr>
      </w:r>
    </w:p>
    <w:p>
      <w:pPr>
        <w:pStyle w:val="BodyTextIndent"/>
        <w:ind w:hanging="0"/>
        <w:jc w:val="left"/>
        <w:rPr/>
      </w:pPr>
      <w:r>
        <w:rPr/>
        <w:t>«_____» ______________ 20___г.</w:t>
      </w:r>
      <w:r>
        <w:br w:type="page"/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7</w:t>
      </w:r>
    </w:p>
    <w:p>
      <w:pPr>
        <w:pStyle w:val="BodyTextIndent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b/>
          <w:u w:val="single"/>
        </w:rPr>
      </w:pPr>
      <w:r>
        <w:rPr>
          <w:b/>
          <w:u w:val="single"/>
        </w:rPr>
        <w:t>Вид бумажного материального пропуска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sectPr>
          <w:headerReference w:type="even" r:id="rId25"/>
          <w:headerReference w:type="default" r:id="rId26"/>
          <w:headerReference w:type="first" r:id="rId27"/>
          <w:footnotePr>
            <w:numFmt w:val="decimal"/>
          </w:footnotePr>
          <w:type w:val="nextPage"/>
          <w:pgSz w:w="11906" w:h="16838"/>
          <w:pgMar w:left="1701" w:right="851" w:gutter="0" w:header="709" w:top="766" w:footer="0" w:bottom="567"/>
          <w:pgNumType w:fmt="decimal"/>
          <w:formProt w:val="false"/>
          <w:titlePg/>
          <w:textDirection w:val="lrTb"/>
          <w:docGrid w:type="default" w:linePitch="360" w:charSpace="0"/>
        </w:sectPr>
        <w:pStyle w:val="BodyTextIndent"/>
        <w:ind w:hanging="0"/>
        <w:jc w:val="center"/>
        <w:rPr/>
      </w:pPr>
      <w:r>
        <w:rPr/>
        <w:drawing>
          <wp:inline distT="0" distB="0" distL="0" distR="0">
            <wp:extent cx="5923915" cy="4190365"/>
            <wp:effectExtent l="0" t="0" r="0" b="0"/>
            <wp:docPr id="2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1903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BodyTextIndent"/>
        <w:ind w:hanging="0"/>
        <w:jc w:val="right"/>
        <w:rPr>
          <w:sz w:val="24"/>
        </w:rPr>
      </w:pPr>
      <w:r>
        <w:rPr>
          <w:sz w:val="24"/>
        </w:rPr>
        <w:t>Приложение 8.1</w:t>
      </w:r>
    </w:p>
    <w:p>
      <w:pPr>
        <w:pStyle w:val="BodyTextIndent"/>
        <w:jc w:val="right"/>
        <w:rPr>
          <w:sz w:val="24"/>
        </w:rPr>
      </w:pPr>
      <w:r>
        <w:rPr>
          <w:sz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 xml:space="preserve">приёма (сдачи) под охрану режимных помещений, спец. хранилищ, сейфов </w:t>
      </w:r>
    </w:p>
    <w:p>
      <w:pPr>
        <w:pStyle w:val="BodyTextIndent"/>
        <w:ind w:hanging="0"/>
        <w:jc w:val="center"/>
        <w:rPr/>
      </w:pPr>
      <w:r>
        <w:rPr/>
        <w:t>(металлических шкафов) и ключей от них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6015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 w:noVBand="0" w:noHBand="0" w:lastColumn="0" w:firstColumn="0" w:lastRow="0" w:firstRow="0"/>
      </w:tblPr>
      <w:tblGrid>
        <w:gridCol w:w="563"/>
        <w:gridCol w:w="2412"/>
        <w:gridCol w:w="1821"/>
        <w:gridCol w:w="1440"/>
        <w:gridCol w:w="1702"/>
        <w:gridCol w:w="1558"/>
        <w:gridCol w:w="1845"/>
        <w:gridCol w:w="1563"/>
        <w:gridCol w:w="1720"/>
        <w:gridCol w:w="1389"/>
      </w:tblGrid>
      <w:tr>
        <w:trPr>
          <w:trHeight w:val="1986" w:hRule="atLeast"/>
        </w:trPr>
        <w:tc>
          <w:tcPr>
            <w:tcW w:w="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Наименование режимных помещений, спец.хранилищ, номера сейфов (металлических шкафов), сдаваемых под охрану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Наименование и номер печатей, которыми опечатываются помещения, хранилища, пеналы с ключами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сдачи под охрану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Фамилия И.О. и подпись, сдавшего под охрану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Отметка о включении сигнализации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Фамилия И.О. и подпись лица, принявшего под охрану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вскрытия помещения, хранилища, получения ключей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Фамилия И.О. и подпись лица вскрывшего помещения, хранилище, получившего ключи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>
        <w:trPr>
          <w:trHeight w:val="56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10</w:t>
            </w:r>
          </w:p>
        </w:tc>
      </w:tr>
      <w:tr>
        <w:trPr>
          <w:trHeight w:val="466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602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598" w:hRule="atLeast"/>
        </w:trPr>
        <w:tc>
          <w:tcPr>
            <w:tcW w:w="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41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2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58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5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8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headerReference w:type="default" r:id="rId28"/>
          <w:headerReference w:type="first" r:id="rId29"/>
          <w:footnotePr>
            <w:numFmt w:val="decimal"/>
          </w:footnotePr>
          <w:type w:val="nextPage"/>
          <w:pgSz w:orient="landscape" w:w="16838" w:h="11906"/>
          <w:pgMar w:left="1134" w:right="992" w:gutter="0" w:header="709" w:top="1701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Indent"/>
        <w:ind w:firstLine="7371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8.2</w:t>
      </w:r>
    </w:p>
    <w:p>
      <w:pPr>
        <w:pStyle w:val="BodyTextIndent"/>
        <w:ind w:firstLine="7371"/>
        <w:jc w:val="left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 xml:space="preserve">учета приема и выдачи ключей от </w:t>
      </w:r>
      <w:r>
        <w:rPr>
          <w:color w:val="000000"/>
        </w:rPr>
        <w:t>производственных и складских помещений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57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900"/>
        <w:gridCol w:w="1115"/>
        <w:gridCol w:w="991"/>
        <w:gridCol w:w="1378"/>
        <w:gridCol w:w="1182"/>
        <w:gridCol w:w="1043"/>
        <w:gridCol w:w="1504"/>
        <w:gridCol w:w="1455"/>
      </w:tblGrid>
      <w:tr>
        <w:trPr>
          <w:trHeight w:val="816" w:hRule="atLeast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№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Время приема ключей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Фамилия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подпись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Время сдачи ключей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Фамилия и подпись дежурного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Приложение 8.3</w:t>
      </w: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>учета проезжающих через КПП автотранспорта и пассажиров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9923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018"/>
        <w:gridCol w:w="1688"/>
        <w:gridCol w:w="1853"/>
        <w:gridCol w:w="1987"/>
        <w:gridCol w:w="1982"/>
        <w:gridCol w:w="1394"/>
      </w:tblGrid>
      <w:tr>
        <w:trPr>
          <w:trHeight w:val="345" w:hRule="atLeast"/>
        </w:trPr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Дата и время въезда</w:t>
            </w:r>
          </w:p>
        </w:tc>
        <w:tc>
          <w:tcPr>
            <w:tcW w:w="168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Марка автотранспорта</w:t>
            </w:r>
          </w:p>
        </w:tc>
        <w:tc>
          <w:tcPr>
            <w:tcW w:w="185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 xml:space="preserve">№ </w:t>
            </w:r>
            <w:r>
              <w:rPr>
                <w:bCs/>
                <w:color w:val="000000"/>
                <w:sz w:val="22"/>
              </w:rPr>
              <w:t>гос. рег. знак автотранспорта</w:t>
            </w:r>
          </w:p>
        </w:tc>
        <w:tc>
          <w:tcPr>
            <w:tcW w:w="198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Фамилия имя отчество водителя и пассажиров</w:t>
            </w:r>
          </w:p>
        </w:tc>
        <w:tc>
          <w:tcPr>
            <w:tcW w:w="198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Вид документа, удостоверяющего личность</w:t>
            </w:r>
          </w:p>
        </w:tc>
        <w:tc>
          <w:tcPr>
            <w:tcW w:w="139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Количество пассажиров</w:t>
            </w:r>
          </w:p>
        </w:tc>
      </w:tr>
      <w:tr>
        <w:trPr>
          <w:trHeight w:val="442" w:hRule="atLeast"/>
        </w:trPr>
        <w:tc>
          <w:tcPr>
            <w:tcW w:w="1018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688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853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87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82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394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982" w:hRule="atLeast"/>
        </w:trPr>
        <w:tc>
          <w:tcPr>
            <w:tcW w:w="1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6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0" w:hRule="atLeast"/>
        </w:trPr>
        <w:tc>
          <w:tcPr>
            <w:tcW w:w="10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6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tbl>
      <w:tblPr>
        <w:tblW w:w="9924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181"/>
        <w:gridCol w:w="1913"/>
        <w:gridCol w:w="2002"/>
        <w:gridCol w:w="1319"/>
        <w:gridCol w:w="2509"/>
      </w:tblGrid>
      <w:tr>
        <w:trPr>
          <w:trHeight w:val="345" w:hRule="atLeast"/>
        </w:trPr>
        <w:tc>
          <w:tcPr>
            <w:tcW w:w="218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Маршрут проезда</w:t>
            </w:r>
          </w:p>
        </w:tc>
        <w:tc>
          <w:tcPr>
            <w:tcW w:w="191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Собственник</w:t>
            </w:r>
          </w:p>
        </w:tc>
        <w:tc>
          <w:tcPr>
            <w:tcW w:w="200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Основания проезда</w:t>
            </w:r>
          </w:p>
        </w:tc>
        <w:tc>
          <w:tcPr>
            <w:tcW w:w="13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Время обратного проезда</w:t>
            </w:r>
          </w:p>
        </w:tc>
        <w:tc>
          <w:tcPr>
            <w:tcW w:w="250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Примечание</w:t>
            </w:r>
          </w:p>
        </w:tc>
      </w:tr>
      <w:tr>
        <w:trPr>
          <w:trHeight w:val="529" w:hRule="atLeast"/>
        </w:trPr>
        <w:tc>
          <w:tcPr>
            <w:tcW w:w="218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13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002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319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509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600" w:hRule="atLeast"/>
        </w:trPr>
        <w:tc>
          <w:tcPr>
            <w:tcW w:w="2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9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0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5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0" w:hRule="atLeast"/>
        </w:trPr>
        <w:tc>
          <w:tcPr>
            <w:tcW w:w="2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0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5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sectPr>
          <w:headerReference w:type="default" r:id="rId30"/>
          <w:headerReference w:type="first" r:id="rId31"/>
          <w:footnotePr>
            <w:numFmt w:val="decimal"/>
          </w:footnotePr>
          <w:type w:val="nextPage"/>
          <w:pgSz w:w="11906" w:h="16838"/>
          <w:pgMar w:left="1701" w:right="851" w:gutter="0" w:header="709" w:top="993" w:footer="0" w:bottom="1135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Приложение 8.4</w:t>
      </w:r>
    </w:p>
    <w:p>
      <w:pPr>
        <w:pStyle w:val="BodyTextIndent"/>
        <w:ind w:firstLine="7655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/>
      </w:pPr>
      <w:r>
        <w:rPr/>
        <w:t>учета выдачи / сдачи электронных пропусков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411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754"/>
        <w:gridCol w:w="1815"/>
        <w:gridCol w:w="1920"/>
        <w:gridCol w:w="1816"/>
        <w:gridCol w:w="1874"/>
        <w:gridCol w:w="2655"/>
        <w:gridCol w:w="2281"/>
      </w:tblGrid>
      <w:tr>
        <w:trPr>
          <w:trHeight w:val="1065" w:hRule="atLeast"/>
        </w:trPr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Номер электронного пропуска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Вид электронного пропуска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Фамилия имя отчество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Должность, подразделение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 xml:space="preserve">Подпись </w:t>
            </w:r>
          </w:p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(в т.ч. об ознакомлении с Инструкцией)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ind w:hanging="0"/>
              <w:jc w:val="center"/>
              <w:rPr/>
            </w:pPr>
            <w:r>
              <w:rPr>
                <w:sz w:val="22"/>
                <w:szCs w:val="22"/>
              </w:rPr>
              <w:t>Дата возврата, утери</w:t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/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BodyTextIndent"/>
              <w:widowControl w:val="false"/>
              <w:snapToGrid w:val="false"/>
              <w:ind w:hang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BodyTextIndent"/>
        <w:ind w:firstLine="6946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8.5</w:t>
      </w:r>
    </w:p>
    <w:p>
      <w:pPr>
        <w:pStyle w:val="BodyTextIndent"/>
        <w:ind w:firstLine="6946"/>
        <w:jc w:val="left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p>
      <w:pPr>
        <w:pStyle w:val="BodyTextIndent"/>
        <w:ind w:hanging="0"/>
        <w:jc w:val="center"/>
        <w:rPr/>
      </w:pPr>
      <w:r>
        <w:rPr/>
        <w:t xml:space="preserve">Журнал </w:t>
      </w:r>
    </w:p>
    <w:p>
      <w:pPr>
        <w:pStyle w:val="BodyTextIndent"/>
        <w:ind w:hanging="0"/>
        <w:jc w:val="center"/>
        <w:rPr>
          <w:sz w:val="24"/>
        </w:rPr>
      </w:pPr>
      <w:r>
        <w:rPr/>
        <w:t>учета посетителей</w:t>
      </w:r>
    </w:p>
    <w:p>
      <w:pPr>
        <w:pStyle w:val="BodyTextIndent"/>
        <w:ind w:hanging="0"/>
        <w:jc w:val="center"/>
        <w:rPr>
          <w:sz w:val="24"/>
        </w:rPr>
      </w:pPr>
      <w:r>
        <w:rPr>
          <w:sz w:val="24"/>
        </w:rPr>
      </w:r>
    </w:p>
    <w:tbl>
      <w:tblPr>
        <w:tblW w:w="14322" w:type="dxa"/>
        <w:jc w:val="left"/>
        <w:tblInd w:w="-4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3225"/>
        <w:gridCol w:w="2429"/>
        <w:gridCol w:w="2731"/>
        <w:gridCol w:w="2100"/>
        <w:gridCol w:w="1575"/>
        <w:gridCol w:w="2261"/>
      </w:tblGrid>
      <w:tr>
        <w:trPr>
          <w:trHeight w:val="645" w:hRule="atLeast"/>
        </w:trPr>
        <w:tc>
          <w:tcPr>
            <w:tcW w:w="32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Дата и время входа на объект</w:t>
            </w:r>
          </w:p>
        </w:tc>
        <w:tc>
          <w:tcPr>
            <w:tcW w:w="242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Фамилия имя отчество посетителя</w:t>
            </w:r>
          </w:p>
        </w:tc>
        <w:tc>
          <w:tcPr>
            <w:tcW w:w="273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Вид документа удостоверяющего личность</w:t>
            </w:r>
          </w:p>
        </w:tc>
        <w:tc>
          <w:tcPr>
            <w:tcW w:w="210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Основание посещения</w:t>
            </w:r>
          </w:p>
        </w:tc>
        <w:tc>
          <w:tcPr>
            <w:tcW w:w="226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  <w:szCs w:val="22"/>
              </w:rPr>
              <w:t>Вид пропуска</w:t>
            </w:r>
          </w:p>
        </w:tc>
      </w:tr>
      <w:tr>
        <w:trPr>
          <w:trHeight w:val="419" w:hRule="atLeast"/>
        </w:trPr>
        <w:tc>
          <w:tcPr>
            <w:tcW w:w="3225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429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73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100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26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930" w:hRule="atLeast"/>
        </w:trPr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2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>
        <w:trPr>
          <w:trHeight w:val="900" w:hRule="atLeast"/>
        </w:trPr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42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73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2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/>
      </w:pPr>
      <w:r>
        <w:rPr/>
      </w:r>
      <w:bookmarkStart w:id="5" w:name="_GoBack"/>
      <w:bookmarkStart w:id="6" w:name="_GoBack"/>
      <w:bookmarkEnd w:id="6"/>
    </w:p>
    <w:tbl>
      <w:tblPr>
        <w:tblW w:w="14262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6810"/>
        <w:gridCol w:w="2009"/>
        <w:gridCol w:w="2191"/>
        <w:gridCol w:w="1335"/>
        <w:gridCol w:w="1917"/>
      </w:tblGrid>
      <w:tr>
        <w:trPr>
          <w:trHeight w:val="387" w:hRule="atLeast"/>
        </w:trPr>
        <w:tc>
          <w:tcPr>
            <w:tcW w:w="8819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Представитель Филиала (принимающего)</w:t>
            </w:r>
          </w:p>
        </w:tc>
        <w:tc>
          <w:tcPr>
            <w:tcW w:w="219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Основания проезда</w:t>
            </w:r>
          </w:p>
        </w:tc>
        <w:tc>
          <w:tcPr>
            <w:tcW w:w="133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Время выхода с объекта</w:t>
            </w:r>
          </w:p>
        </w:tc>
        <w:tc>
          <w:tcPr>
            <w:tcW w:w="191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Примечание</w:t>
            </w:r>
          </w:p>
        </w:tc>
      </w:tr>
      <w:tr>
        <w:trPr>
          <w:trHeight w:val="393" w:hRule="atLeast"/>
        </w:trPr>
        <w:tc>
          <w:tcPr>
            <w:tcW w:w="6810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Фамилия имя отчество</w:t>
            </w:r>
          </w:p>
        </w:tc>
        <w:tc>
          <w:tcPr>
            <w:tcW w:w="2009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Cs/>
                <w:color w:val="000000"/>
                <w:sz w:val="22"/>
              </w:rPr>
              <w:t>Должность</w:t>
            </w:r>
          </w:p>
        </w:tc>
        <w:tc>
          <w:tcPr>
            <w:tcW w:w="2191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</w:r>
          </w:p>
        </w:tc>
        <w:tc>
          <w:tcPr>
            <w:tcW w:w="1335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</w:r>
          </w:p>
        </w:tc>
        <w:tc>
          <w:tcPr>
            <w:tcW w:w="1917" w:type="dxa"/>
            <w:vMerge w:val="continue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rPr>
                <w:bCs/>
                <w:color w:val="000000"/>
                <w:sz w:val="22"/>
              </w:rPr>
            </w:pPr>
            <w:r>
              <w:rPr>
                <w:bCs/>
                <w:color w:val="000000"/>
                <w:sz w:val="22"/>
              </w:rPr>
            </w:r>
          </w:p>
        </w:tc>
      </w:tr>
      <w:tr>
        <w:trPr>
          <w:trHeight w:val="930" w:hRule="atLeast"/>
        </w:trPr>
        <w:tc>
          <w:tcPr>
            <w:tcW w:w="6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19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</w:tr>
      <w:tr>
        <w:trPr>
          <w:trHeight w:val="900" w:hRule="atLeast"/>
        </w:trPr>
        <w:tc>
          <w:tcPr>
            <w:tcW w:w="6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00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3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  <w:tc>
          <w:tcPr>
            <w:tcW w:w="191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</w:tbl>
    <w:p>
      <w:pPr>
        <w:sectPr>
          <w:headerReference w:type="even" r:id="rId32"/>
          <w:headerReference w:type="default" r:id="rId33"/>
          <w:headerReference w:type="first" r:id="rId34"/>
          <w:footnotePr>
            <w:numFmt w:val="decimal"/>
          </w:footnotePr>
          <w:type w:val="nextPage"/>
          <w:pgSz w:orient="landscape" w:w="16838" w:h="11906"/>
          <w:pgMar w:left="1701" w:right="851" w:gutter="0" w:header="709" w:top="993" w:footer="0" w:bottom="1135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BodyTextIndent"/>
        <w:ind w:firstLine="12900"/>
        <w:rPr>
          <w:sz w:val="24"/>
          <w:szCs w:val="24"/>
        </w:rPr>
      </w:pPr>
      <w:r>
        <w:rPr>
          <w:sz w:val="24"/>
          <w:szCs w:val="24"/>
        </w:rPr>
        <w:t>Приложение 8.6</w:t>
      </w:r>
    </w:p>
    <w:p>
      <w:pPr>
        <w:pStyle w:val="BodyTextIndent"/>
        <w:ind w:firstLine="12900"/>
        <w:rPr>
          <w:sz w:val="24"/>
          <w:szCs w:val="24"/>
        </w:rPr>
      </w:pPr>
      <w:r>
        <w:rPr>
          <w:sz w:val="24"/>
          <w:szCs w:val="24"/>
        </w:rPr>
        <w:t>к Инструкции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Textbody"/>
        <w:spacing w:lineRule="auto" w:line="240" w:before="0" w:after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Журнал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регистрации оружия провозимого через территорию объекта </w:t>
      </w:r>
    </w:p>
    <w:p>
      <w:pPr>
        <w:pStyle w:val="Normal"/>
        <w:jc w:val="center"/>
        <w:rPr>
          <w:sz w:val="28"/>
        </w:rPr>
      </w:pPr>
      <w:r>
        <w:rPr>
          <w:sz w:val="28"/>
          <w:szCs w:val="28"/>
        </w:rPr>
        <w:t>ОП «Чиркейская ГЭС»</w:t>
      </w:r>
    </w:p>
    <w:p>
      <w:pPr>
        <w:pStyle w:val="Normal"/>
        <w:jc w:val="center"/>
        <w:rPr/>
      </w:pPr>
      <w:r>
        <w:rPr/>
      </w:r>
    </w:p>
    <w:tbl>
      <w:tblPr>
        <w:tblW w:w="16157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 w:noVBand="0" w:noHBand="0" w:lastColumn="0" w:firstColumn="0" w:lastRow="0" w:firstRow="0"/>
      </w:tblPr>
      <w:tblGrid>
        <w:gridCol w:w="562"/>
        <w:gridCol w:w="1989"/>
        <w:gridCol w:w="2551"/>
        <w:gridCol w:w="1842"/>
        <w:gridCol w:w="2554"/>
        <w:gridCol w:w="2984"/>
        <w:gridCol w:w="2001"/>
        <w:gridCol w:w="1672"/>
      </w:tblGrid>
      <w:tr>
        <w:trPr>
          <w:trHeight w:val="475" w:hRule="atLeast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п/п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въезда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Ф.И.О.</w:t>
            </w:r>
          </w:p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владельца оружия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Модель, тип и номер оружия</w:t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Номер и срок действия лицензии</w:t>
            </w:r>
          </w:p>
        </w:tc>
        <w:tc>
          <w:tcPr>
            <w:tcW w:w="2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Ф.И.О. лица разрешившего провоз оружия</w:t>
            </w:r>
          </w:p>
        </w:tc>
        <w:tc>
          <w:tcPr>
            <w:tcW w:w="2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Дата и время выезда</w:t>
            </w:r>
          </w:p>
        </w:tc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>
        <w:trPr>
          <w:trHeight w:val="157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6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jc w:val="center"/>
              <w:rPr/>
            </w:pPr>
            <w:r>
              <w:rPr>
                <w:sz w:val="22"/>
                <w:szCs w:val="22"/>
              </w:rPr>
              <w:t>8</w:t>
            </w:r>
          </w:p>
        </w:tc>
      </w:tr>
      <w:tr>
        <w:trPr>
          <w:trHeight w:val="1181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200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  <w:tr>
        <w:trPr>
          <w:trHeight w:val="1238" w:hRule="atLeast"/>
        </w:trPr>
        <w:tc>
          <w:tcPr>
            <w:tcW w:w="56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842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98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20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16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  <w:vAlign w:val="center"/>
          </w:tcPr>
          <w:p>
            <w:pPr>
              <w:pStyle w:val="Style23"/>
              <w:widowControl w:val="false"/>
              <w:snapToGrid w:val="false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</w:tr>
    </w:tbl>
    <w:p>
      <w:pPr>
        <w:sectPr>
          <w:headerReference w:type="default" r:id="rId35"/>
          <w:headerReference w:type="first" r:id="rId36"/>
          <w:footnotePr>
            <w:numFmt w:val="decimal"/>
          </w:footnotePr>
          <w:type w:val="nextPage"/>
          <w:pgSz w:orient="landscape" w:w="16838" w:h="11906"/>
          <w:pgMar w:left="1134" w:right="992" w:gutter="0" w:header="709" w:top="1701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ind w:firstLine="7655"/>
        <w:jc w:val="both"/>
        <w:rPr/>
      </w:pPr>
      <w:r>
        <w:rPr/>
        <w:t>Приложение 9</w:t>
      </w:r>
    </w:p>
    <w:p>
      <w:pPr>
        <w:pStyle w:val="Normal"/>
        <w:ind w:firstLine="7655"/>
        <w:jc w:val="both"/>
        <w:rPr/>
      </w:pPr>
      <w:r>
        <w:rPr/>
        <w:t>к Инструкции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АНКЕТА</w:t>
      </w:r>
    </w:p>
    <w:tbl>
      <w:tblPr>
        <w:tblW w:w="875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727"/>
        <w:gridCol w:w="5330"/>
        <w:gridCol w:w="1698"/>
      </w:tblGrid>
      <w:tr>
        <w:trPr>
          <w:trHeight w:val="334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 xml:space="preserve">1. Фамилия </w:t>
            </w:r>
          </w:p>
        </w:tc>
        <w:tc>
          <w:tcPr>
            <w:tcW w:w="533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restart"/>
            <w:tcBorders/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</w:t>
            </w:r>
          </w:p>
          <w:p>
            <w:pPr>
              <w:pStyle w:val="Normal"/>
              <w:widowControl w:val="fals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sz w:val="20"/>
                <w:szCs w:val="20"/>
              </w:rPr>
              <w:t>фотографии</w:t>
            </w:r>
          </w:p>
        </w:tc>
      </w:tr>
      <w:tr>
        <w:trPr>
          <w:trHeight w:val="281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 xml:space="preserve">Имя 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31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Отчество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261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Должность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  <w:tr>
        <w:trPr>
          <w:trHeight w:val="408" w:hRule="atLeast"/>
        </w:trPr>
        <w:tc>
          <w:tcPr>
            <w:tcW w:w="1727" w:type="dxa"/>
            <w:tcBorders/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Организация / подразделение</w:t>
            </w:r>
          </w:p>
        </w:tc>
        <w:tc>
          <w:tcPr>
            <w:tcW w:w="5330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1698" w:type="dxa"/>
            <w:vMerge w:val="continue"/>
            <w:tcBorders/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2. Изменялась ли фамилия, имя или отчество, если да, то указать их, а также когда, где и по какой причине 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3. Число, месяц и год рождения __________________________________________________</w:t>
      </w:r>
    </w:p>
    <w:p>
      <w:pPr>
        <w:pStyle w:val="Normal"/>
        <w:rPr/>
      </w:pPr>
      <w:r>
        <w:rPr/>
        <w:t>4. Место рождения (село, деревня, город, район, область, край, республика) 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5. Гражданство (если изменялось, то указать, когда и по какой причине) 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 xml:space="preserve">6. Образование, специальность и квалификация по диплому (когда и какие учебные заведения окончили, номера дипломов) __________________________________________ </w:t>
      </w:r>
    </w:p>
    <w:p>
      <w:pPr>
        <w:pStyle w:val="Normal"/>
        <w:rPr/>
      </w:pPr>
      <w:r>
        <w:rPr/>
        <w:t>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  <w:t>7. Адрес фактического места жительства: 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8. Адрес регистрации по месту жительства и / или месту пребывания: 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/>
      </w:pPr>
      <w:r>
        <w:rPr/>
        <w:t>_____________________________________________________________________________</w:t>
      </w:r>
    </w:p>
    <w:p>
      <w:pPr>
        <w:pStyle w:val="Normal"/>
        <w:rPr>
          <w:sz w:val="20"/>
          <w:szCs w:val="20"/>
        </w:rPr>
      </w:pPr>
      <w:r>
        <w:rPr/>
        <w:t>9. Паспорт или документ, его заменяющий _______________________________________</w:t>
      </w:r>
    </w:p>
    <w:p>
      <w:pPr>
        <w:pStyle w:val="Normal"/>
        <w:ind w:firstLine="5387"/>
        <w:jc w:val="both"/>
        <w:rPr/>
      </w:pPr>
      <w:r>
        <w:rPr>
          <w:sz w:val="20"/>
          <w:szCs w:val="20"/>
        </w:rPr>
        <w:t>(номер, серия, кем и когда выдан)</w:t>
      </w:r>
    </w:p>
    <w:p>
      <w:pPr>
        <w:pStyle w:val="Normal"/>
        <w:jc w:val="both"/>
        <w:rPr/>
      </w:pPr>
      <w:r>
        <w:rPr/>
        <w:t>10. Настоящим, в соответствии с пунктом 12 статьи 3 Федерального закона от 27.07.2006 №152-ФЗ «О персональных данных», даю согласие на обработку в корпоративной сети Группы РусГидро следующих персональных данных: фамилия, имя, отчество, дата рождения, адрес фактического места жительства, адрес регистрации по месту жительства, сведения об образовании, профессии (должности), сведения о месте работы, паспортные данные.</w:t>
      </w:r>
    </w:p>
    <w:p>
      <w:pPr>
        <w:pStyle w:val="Normal"/>
        <w:ind w:firstLine="851"/>
        <w:jc w:val="both"/>
        <w:rPr/>
      </w:pPr>
      <w:r>
        <w:rPr/>
        <w:t>В случае изменения любых переданных мной в Филиал ПАО «РусГидро» - «Дагестанский филиал» персональных данных обязуюсь незамедлительно сообщить в Филиал ПАО «РусГидро» - «Дагестанский филиал» свои новые персональные данные, на обработку которых я даю согласие и которые должны обрабатываться в Филиале ПАО «РусГидро» - «Дагестанский филиал» в соответствии с настоящим согласием.</w:t>
      </w:r>
    </w:p>
    <w:p>
      <w:pPr>
        <w:pStyle w:val="Normal"/>
        <w:ind w:firstLine="851"/>
        <w:jc w:val="both"/>
        <w:rPr/>
      </w:pPr>
      <w:r>
        <w:rPr/>
        <w:t>Я подтверждаю, что вся информация, указанная мною в настоящей анкете, предоставлена добровольно и является достоверной.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sz w:val="20"/>
          <w:szCs w:val="20"/>
        </w:rPr>
      </w:pPr>
      <w:r>
        <w:rPr>
          <w:sz w:val="28"/>
          <w:szCs w:val="20"/>
        </w:rPr>
        <w:t>______________________                                             ______________________</w:t>
      </w:r>
    </w:p>
    <w:p>
      <w:pPr>
        <w:pStyle w:val="Normal"/>
        <w:jc w:val="both"/>
        <w:rPr>
          <w:sz w:val="20"/>
          <w:szCs w:val="20"/>
        </w:rPr>
      </w:pPr>
      <w:r>
        <w:rPr>
          <w:sz w:val="20"/>
          <w:szCs w:val="20"/>
        </w:rPr>
        <w:tab/>
        <w:tab/>
        <w:t xml:space="preserve">(дата)                                                                                                                     (подпись)            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ind w:firstLine="7655"/>
        <w:rPr/>
      </w:pPr>
      <w:r>
        <w:rPr/>
        <w:t>Приложение 10</w:t>
      </w:r>
    </w:p>
    <w:p>
      <w:pPr>
        <w:pStyle w:val="Normal"/>
        <w:ind w:firstLine="7655"/>
        <w:rPr/>
      </w:pPr>
      <w:r>
        <w:rPr/>
        <w:t>к Инструкции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бланке </w:t>
      </w:r>
      <w:r>
        <w:rPr>
          <w:sz w:val="28"/>
        </w:rPr>
        <w:t>ПАО / АО / ООО</w:t>
      </w:r>
      <w:r>
        <w:rPr>
          <w:sz w:val="28"/>
          <w:szCs w:val="28"/>
        </w:rPr>
        <w:t xml:space="preserve"> (с указанием реквизитов)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  <w:t>В ПАО «РусГидро»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СПРАВКА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ind w:firstLine="851"/>
        <w:jc w:val="both"/>
        <w:rPr>
          <w:sz w:val="28"/>
        </w:rPr>
      </w:pPr>
      <w:r>
        <w:rPr>
          <w:sz w:val="28"/>
        </w:rPr>
        <w:t xml:space="preserve">Дана ______________________ в том, что он действительно работает </w:t>
      </w:r>
    </w:p>
    <w:p>
      <w:pPr>
        <w:pStyle w:val="Normal"/>
        <w:ind w:firstLine="709"/>
        <w:jc w:val="both"/>
        <w:rPr>
          <w:sz w:val="28"/>
        </w:rPr>
      </w:pPr>
      <w:r>
        <w:rPr>
          <w:sz w:val="28"/>
        </w:rPr>
        <w:tab/>
        <w:t xml:space="preserve">      </w:t>
        <w:tab/>
        <w:tab/>
      </w:r>
      <w:r>
        <w:rPr>
          <w:sz w:val="12"/>
          <w:szCs w:val="12"/>
        </w:rPr>
        <w:t>(Ф.И.О)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в «_______________» (ПАО / АО / ООО «_____________») в должности</w:t>
      </w:r>
    </w:p>
    <w:p>
      <w:pPr>
        <w:pStyle w:val="Normal"/>
        <w:jc w:val="both"/>
        <w:rPr>
          <w:sz w:val="16"/>
          <w:szCs w:val="16"/>
        </w:rPr>
      </w:pPr>
      <w:r>
        <w:rPr>
          <w:sz w:val="28"/>
        </w:rPr>
        <w:tab/>
      </w:r>
      <w:r>
        <w:rPr>
          <w:sz w:val="16"/>
          <w:szCs w:val="16"/>
        </w:rPr>
        <w:t>(полное наименование организации)</w:t>
        <w:tab/>
        <w:t xml:space="preserve">                                  (краткое наименование организации)</w:t>
      </w:r>
    </w:p>
    <w:p>
      <w:pPr>
        <w:pStyle w:val="Normal"/>
        <w:jc w:val="center"/>
        <w:rPr>
          <w:szCs w:val="16"/>
        </w:rPr>
      </w:pPr>
      <w:r>
        <w:rPr>
          <w:szCs w:val="16"/>
        </w:rPr>
      </w:r>
    </w:p>
    <w:p>
      <w:pPr>
        <w:pStyle w:val="Normal"/>
        <w:jc w:val="center"/>
        <w:rPr>
          <w:szCs w:val="16"/>
        </w:rPr>
      </w:pPr>
      <w:r>
        <w:rPr>
          <w:szCs w:val="16"/>
        </w:rPr>
      </w:r>
    </w:p>
    <w:p>
      <w:pPr>
        <w:pStyle w:val="Normal"/>
        <w:pBdr>
          <w:bottom w:val="single" w:sz="12" w:space="1" w:color="000000"/>
        </w:pBdr>
        <w:jc w:val="center"/>
        <w:rPr>
          <w:szCs w:val="16"/>
        </w:rPr>
      </w:pPr>
      <w:r>
        <w:rPr>
          <w:szCs w:val="16"/>
        </w:rPr>
      </w:r>
    </w:p>
    <w:p>
      <w:pPr>
        <w:pStyle w:val="Normal"/>
        <w:jc w:val="center"/>
        <w:rPr>
          <w:sz w:val="28"/>
        </w:rPr>
      </w:pPr>
      <w:r>
        <w:rPr>
          <w:sz w:val="16"/>
          <w:szCs w:val="16"/>
        </w:rPr>
        <w:t>(должность работника)</w:t>
      </w:r>
    </w:p>
    <w:p>
      <w:pPr>
        <w:pStyle w:val="Normal"/>
        <w:jc w:val="both"/>
        <w:rPr>
          <w:i/>
          <w:i/>
        </w:rPr>
      </w:pPr>
      <w:r>
        <w:rPr>
          <w:sz w:val="28"/>
        </w:rPr>
        <w:t>с ________________ и по настоящее время и выполняет работы</w:t>
      </w:r>
    </w:p>
    <w:p>
      <w:pPr>
        <w:pStyle w:val="Normal"/>
        <w:jc w:val="both"/>
        <w:rPr>
          <w:sz w:val="28"/>
        </w:rPr>
      </w:pPr>
      <w:r>
        <w:rPr>
          <w:i/>
        </w:rPr>
        <w:t xml:space="preserve">          </w:t>
      </w:r>
      <w:r>
        <w:rPr>
          <w:i/>
        </w:rPr>
        <w:t>(дата приема)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в соответствии с договором от «___» _____20__г. №____.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>
          <w:i/>
          <w:i/>
        </w:rPr>
      </w:pPr>
      <w:r>
        <w:rPr>
          <w:sz w:val="28"/>
        </w:rPr>
        <w:t>Генеральный директор                                                                               (Ф.И.О.)</w:t>
      </w:r>
    </w:p>
    <w:p>
      <w:pPr>
        <w:pStyle w:val="Normal"/>
        <w:jc w:val="both"/>
        <w:rPr>
          <w:i/>
          <w:i/>
        </w:rPr>
      </w:pPr>
      <w:r>
        <w:rPr>
          <w:i/>
        </w:rPr>
        <w:t xml:space="preserve">(или уполномоченное лицо, </w:t>
      </w:r>
    </w:p>
    <w:p>
      <w:pPr>
        <w:pStyle w:val="Normal"/>
        <w:jc w:val="both"/>
        <w:rPr>
          <w:i/>
          <w:i/>
        </w:rPr>
      </w:pPr>
      <w:r>
        <w:rPr>
          <w:i/>
        </w:rPr>
        <w:t>на основании доверенности)</w:t>
      </w:r>
    </w:p>
    <w:p>
      <w:pPr>
        <w:pStyle w:val="Normal"/>
        <w:jc w:val="center"/>
        <w:rPr/>
      </w:pPr>
      <w:r>
        <w:rPr/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ab/>
        <w:tab/>
        <w:tab/>
        <w:tab/>
        <w:tab/>
        <w:tab/>
        <w:tab/>
        <w:tab/>
        <w:tab/>
        <w:tab/>
        <w:t xml:space="preserve">                  М.П.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ab/>
        <w:tab/>
        <w:tab/>
        <w:tab/>
        <w:tab/>
        <w:tab/>
        <w:tab/>
        <w:tab/>
        <w:tab/>
        <w:t xml:space="preserve">      (печать организации)</w:t>
      </w:r>
    </w:p>
    <w:p>
      <w:pPr>
        <w:pStyle w:val="Normal"/>
        <w:spacing w:lineRule="auto" w:line="192"/>
        <w:jc w:val="center"/>
        <w:rPr/>
      </w:pPr>
      <w:r>
        <w:rPr/>
      </w:r>
    </w:p>
    <w:p>
      <w:pPr>
        <w:pStyle w:val="Normal"/>
        <w:spacing w:lineRule="auto" w:line="192"/>
        <w:jc w:val="center"/>
        <w:rPr/>
      </w:pPr>
      <w:r>
        <w:rPr/>
      </w:r>
    </w:p>
    <w:p>
      <w:pPr>
        <w:pStyle w:val="Normal"/>
        <w:spacing w:lineRule="auto" w:line="192"/>
        <w:jc w:val="center"/>
        <w:rPr/>
      </w:pPr>
      <w:r>
        <w:rPr/>
      </w:r>
    </w:p>
    <w:p>
      <w:pPr>
        <w:pStyle w:val="Normal"/>
        <w:spacing w:lineRule="auto" w:line="192"/>
        <w:ind w:firstLine="540"/>
        <w:rPr/>
      </w:pPr>
      <w:r>
        <w:rPr>
          <w:sz w:val="22"/>
          <w:szCs w:val="22"/>
        </w:rPr>
        <w:t xml:space="preserve">Ф.И.О. исполнителя </w:t>
      </w:r>
    </w:p>
    <w:p>
      <w:pPr>
        <w:pStyle w:val="Normal"/>
        <w:spacing w:lineRule="auto" w:line="192"/>
        <w:ind w:firstLine="540"/>
        <w:rPr>
          <w:sz w:val="20"/>
          <w:szCs w:val="20"/>
        </w:rPr>
      </w:pPr>
      <w:r>
        <w:rPr/>
        <w:t>тел……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ind w:firstLine="7513"/>
        <w:rPr/>
      </w:pPr>
      <w:r>
        <w:rPr/>
        <w:t>Приложение 11</w:t>
      </w:r>
    </w:p>
    <w:p>
      <w:pPr>
        <w:pStyle w:val="Normal"/>
        <w:shd w:val="clear" w:color="auto" w:fill="FFFFFF"/>
        <w:ind w:firstLine="7513"/>
        <w:rPr>
          <w:sz w:val="28"/>
          <w:szCs w:val="28"/>
        </w:rPr>
      </w:pPr>
      <w:r>
        <w:rPr/>
        <w:t>к Инструкции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numPr>
          <w:ilvl w:val="0"/>
          <w:numId w:val="0"/>
        </w:numPr>
        <w:ind w:left="0" w:hanging="0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Согласие на обработку персональных данных</w:t>
      </w:r>
    </w:p>
    <w:p>
      <w:pPr>
        <w:pStyle w:val="Normal"/>
        <w:numPr>
          <w:ilvl w:val="0"/>
          <w:numId w:val="0"/>
        </w:numPr>
        <w:ind w:left="0" w:hanging="0"/>
        <w:jc w:val="center"/>
        <w:outlineLvl w:val="0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both"/>
        <w:textAlignment w:val="baseline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Я, </w:t>
      </w:r>
      <w:r>
        <w:rPr/>
        <w:t>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>(полностью фамилия, имя, отчество)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/>
        <w:t>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>(дата, месяц, год и место рождения)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(основной документ, удостоверяющий личность, с указанием серии, номера, даты выдачи, </w:t>
      </w:r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/>
      </w:pPr>
      <w:r>
        <w:rPr>
          <w:sz w:val="28"/>
          <w:szCs w:val="28"/>
          <w:vertAlign w:val="superscript"/>
        </w:rPr>
        <w:t>выдавшего органа, кода подразделения)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  <w:vertAlign w:val="superscript"/>
        </w:rPr>
      </w:pPr>
      <w:r>
        <w:rPr/>
        <w:t>_____________________________________________________________________________</w:t>
      </w:r>
    </w:p>
    <w:p>
      <w:pPr>
        <w:pStyle w:val="Normal"/>
        <w:widowControl w:val="false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  <w:vertAlign w:val="superscript"/>
        </w:rPr>
        <w:t>(зарегистрированный по адресу)</w:t>
      </w:r>
    </w:p>
    <w:p>
      <w:pPr>
        <w:pStyle w:val="Normal"/>
        <w:widowControl w:val="false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законодательством Российской Федерации, в том числе Федеральным законом от 27.07.2006 №152-ФЗ «О персональных данных», даю свое согласие Филиал </w:t>
      </w:r>
      <w:r>
        <w:rPr>
          <w:i/>
          <w:sz w:val="28"/>
          <w:szCs w:val="28"/>
        </w:rPr>
        <w:t xml:space="preserve">ПАО «РусГидро» - «Дагестанский филиал» место нахождения: РД </w:t>
      </w:r>
      <w:r>
        <w:rPr>
          <w:i/>
          <w:sz w:val="28"/>
          <w:szCs w:val="28"/>
          <w:shd w:fill="FFFFFF" w:val="clear"/>
        </w:rPr>
        <w:t>368300, г. Каспийск ул. М.Халилова д. 5, ИНН: 2460066195</w:t>
      </w:r>
      <w:r>
        <w:rPr>
          <w:i/>
          <w:sz w:val="28"/>
          <w:szCs w:val="28"/>
        </w:rPr>
        <w:t xml:space="preserve"> </w:t>
      </w:r>
      <w:bookmarkStart w:id="7" w:name="Par0"/>
      <w:bookmarkEnd w:id="7"/>
      <w:r>
        <w:rPr>
          <w:sz w:val="28"/>
          <w:szCs w:val="28"/>
        </w:rPr>
        <w:t>на обработку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уничтожение, следующих категорий персональных данных в документальной и / или электронной форме: фамилия, имя, отчество, дата, месяц, год и место рождения, пол, гражданство, адрес регистрации / места жительства, основной документ, удостоверяющий личность (серия, номер, дата выдачи, выдавший орган), номер телефона, адрес электронной почты.</w:t>
      </w:r>
    </w:p>
    <w:p>
      <w:pPr>
        <w:pStyle w:val="Normal"/>
        <w:widowControl w:val="false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Согласие дается мною для следующих целей: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обеспечение соблюдения законов и иных нормативных правовых актов Российской Федерации по обеспечению безопасности на объектах топливно-энергетического комплекса;</w:t>
      </w:r>
    </w:p>
    <w:p>
      <w:pPr>
        <w:pStyle w:val="Normal"/>
        <w:widowControl w:val="false"/>
        <w:tabs>
          <w:tab w:val="clear" w:pos="709"/>
          <w:tab w:val="left" w:pos="993" w:leader="none"/>
        </w:tabs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предоставление (передачи) сведений в органы ФСБ и МВД России с целью осуществления проверочных мероприятий для обеспечения безопасности на объектах топливно-энергетического комплекса, необходимых для выполнения моей трудовой функции.</w:t>
      </w:r>
    </w:p>
    <w:p>
      <w:pPr>
        <w:pStyle w:val="Normal"/>
        <w:widowControl w:val="false"/>
        <w:ind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Согласие действует на срок до «____» _________ 20___ г.</w:t>
      </w:r>
      <w:r>
        <w:rPr/>
        <w:t xml:space="preserve"> </w:t>
      </w:r>
      <w:r>
        <w:rPr>
          <w:sz w:val="28"/>
          <w:szCs w:val="28"/>
        </w:rPr>
        <w:t>и может быть отозвано в письменной форме субъектом персональных данных в указанный срок его действия.</w:t>
      </w:r>
    </w:p>
    <w:p>
      <w:pPr>
        <w:pStyle w:val="Normal"/>
        <w:widowControl w:val="false"/>
        <w:jc w:val="center"/>
        <w:textAlignment w:val="baseline"/>
        <w:rPr>
          <w:szCs w:val="28"/>
        </w:rPr>
      </w:pPr>
      <w:r>
        <w:rPr>
          <w:szCs w:val="28"/>
        </w:rPr>
      </w:r>
    </w:p>
    <w:p>
      <w:pPr>
        <w:pStyle w:val="Normal"/>
        <w:widowControl w:val="false"/>
        <w:jc w:val="center"/>
        <w:textAlignment w:val="baseline"/>
        <w:rPr>
          <w:szCs w:val="28"/>
        </w:rPr>
      </w:pPr>
      <w:r>
        <w:rPr>
          <w:szCs w:val="28"/>
        </w:rPr>
      </w:r>
    </w:p>
    <w:p>
      <w:pPr>
        <w:pStyle w:val="Normal"/>
        <w:spacing w:before="0" w:after="0"/>
        <w:contextualSpacing/>
        <w:jc w:val="both"/>
        <w:rPr>
          <w:sz w:val="28"/>
          <w:szCs w:val="28"/>
          <w:vertAlign w:val="superscript"/>
        </w:rPr>
      </w:pPr>
      <w:r>
        <w:rPr/>
        <w:t xml:space="preserve">______________                                                          </w:t>
        <w:tab/>
        <w:tab/>
        <w:tab/>
        <w:t>___________________________</w:t>
      </w:r>
    </w:p>
    <w:p>
      <w:pPr>
        <w:pStyle w:val="Normal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</w:t>
      </w:r>
      <w:r>
        <w:rPr>
          <w:sz w:val="28"/>
          <w:szCs w:val="28"/>
          <w:vertAlign w:val="superscript"/>
        </w:rPr>
        <w:t>(дата)</w:t>
        <w:tab/>
        <w:tab/>
        <w:tab/>
        <w:tab/>
        <w:tab/>
        <w:tab/>
        <w:t xml:space="preserve">                                             </w:t>
        <w:tab/>
        <w:tab/>
        <w:t>(подпись)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ind w:firstLine="7230"/>
        <w:rPr/>
      </w:pPr>
      <w:r>
        <w:rPr/>
        <w:t>Приложение 12</w:t>
      </w:r>
    </w:p>
    <w:p>
      <w:pPr>
        <w:pStyle w:val="Normal"/>
        <w:ind w:firstLine="7230"/>
        <w:rPr>
          <w:szCs w:val="28"/>
        </w:rPr>
      </w:pPr>
      <w:r>
        <w:rPr/>
        <w:t>к Инструкции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Акт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вскрытии режимных помещений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в Филиале ПАО «РусГидро» - «Дагестанский филиал»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t>Дата и время вскрытия «____» ________________ 20___г. в «____» час «___» мин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i/>
          <w:i/>
          <w:sz w:val="20"/>
          <w:szCs w:val="20"/>
        </w:rPr>
      </w:pPr>
      <w:r>
        <w:rPr>
          <w:sz w:val="28"/>
          <w:szCs w:val="28"/>
        </w:rPr>
        <w:t>Помещение № _____________________________________________________</w:t>
      </w:r>
    </w:p>
    <w:p>
      <w:pPr>
        <w:pStyle w:val="Normal"/>
        <w:jc w:val="right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(вскрыт опечатанный пенал для ключей или помещение открыто мастер-ключом)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</w:rPr>
        <w:t>_____________________________________________________________________________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Причина вскрытия помещения 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pBdr>
          <w:bottom w:val="single" w:sz="12" w:space="15" w:color="000000"/>
        </w:pBd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Комиссия, присутствовавшая при вскрытии: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tabs>
          <w:tab w:val="clear" w:pos="709"/>
          <w:tab w:val="left" w:pos="0" w:leader="none"/>
          <w:tab w:val="left" w:pos="142" w:leader="none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tabs>
          <w:tab w:val="left" w:pos="70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  <w:tab/>
        <w:t>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tabs>
          <w:tab w:val="clear" w:pos="709"/>
          <w:tab w:val="left" w:pos="284" w:leader="none"/>
        </w:tabs>
        <w:rPr>
          <w:sz w:val="28"/>
          <w:szCs w:val="28"/>
        </w:rPr>
      </w:pPr>
      <w:r>
        <w:rPr>
          <w:sz w:val="28"/>
          <w:szCs w:val="28"/>
        </w:rPr>
        <w:t>3.</w:t>
        <w:tab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Акт составил: ______________________________________________________</w:t>
      </w:r>
    </w:p>
    <w:p>
      <w:pPr>
        <w:pStyle w:val="Normal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rPr>
          <w:i/>
          <w:i/>
          <w:sz w:val="20"/>
          <w:szCs w:val="20"/>
        </w:rPr>
      </w:pPr>
      <w:r>
        <w:rPr>
          <w:sz w:val="28"/>
          <w:szCs w:val="28"/>
        </w:rPr>
        <w:t>________________      ________________           __________________________</w:t>
      </w:r>
    </w:p>
    <w:p>
      <w:pPr>
        <w:pStyle w:val="Normal"/>
        <w:jc w:val="center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 xml:space="preserve">должность </w:t>
        <w:tab/>
        <w:tab/>
        <w:tab/>
        <w:t xml:space="preserve">        подпись </w:t>
        <w:tab/>
        <w:tab/>
        <w:tab/>
        <w:tab/>
        <w:t xml:space="preserve">  расшифровка</w:t>
      </w:r>
    </w:p>
    <w:p>
      <w:pPr>
        <w:pStyle w:val="Normal"/>
        <w:jc w:val="center"/>
        <w:rPr>
          <w:szCs w:val="20"/>
        </w:rPr>
      </w:pPr>
      <w:r>
        <w:rPr>
          <w:szCs w:val="2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  <w:bookmarkStart w:id="8" w:name="_Hlk103260381"/>
      <w:bookmarkStart w:id="9" w:name="_Hlk103260381"/>
      <w:bookmarkEnd w:id="9"/>
    </w:p>
    <w:sectPr>
      <w:headerReference w:type="even" r:id="rId37"/>
      <w:headerReference w:type="default" r:id="rId38"/>
      <w:headerReference w:type="first" r:id="rId39"/>
      <w:footnotePr>
        <w:numFmt w:val="decimal"/>
      </w:footnotePr>
      <w:type w:val="nextPage"/>
      <w:pgSz w:w="11906" w:h="16838"/>
      <w:pgMar w:left="1701" w:right="851" w:gutter="0" w:header="709" w:top="993" w:footer="0" w:bottom="1135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Wingdings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2"/>
    <w:family w:val="auto"/>
    <w:pitch w:val="default"/>
  </w:font>
  <w:font w:name="Tahoma">
    <w:charset w:val="01"/>
    <w:family w:val="swiss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Далее — ОП.</w:t>
      </w:r>
    </w:p>
  </w:footnote>
  <w:footnote w:id="3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Выдача разовых (электронных / бумажных) пропусков осуществляется сотрудником охранного предприятия (инспектором бюро пропусков).</w:t>
      </w:r>
    </w:p>
  </w:footnote>
  <w:footnote w:id="4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Порядок оформления, выдачи и использования разового пропуска аналогичен порядку оформления, выдачи и использования электронного разового пропуска.</w:t>
      </w:r>
    </w:p>
  </w:footnote>
  <w:footnote w:id="5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Бюро пропусков предусмотрены на Чиркейской, Ирганайской, Миатлинской и Чирюртской ГЭС-1.</w:t>
      </w:r>
    </w:p>
  </w:footnote>
  <w:footnote w:id="6">
    <w:p>
      <w:pPr>
        <w:pStyle w:val="Normal"/>
        <w:widowControl w:val="false"/>
        <w:jc w:val="both"/>
        <w:rPr>
          <w:sz w:val="20"/>
          <w:szCs w:val="20"/>
        </w:rPr>
      </w:pPr>
      <w:r>
        <w:rPr>
          <w:rStyle w:val="Style9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В перечень работ, непосредственно связанных с обеспечением безопасности объектов ТЭК, входят: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оценка достаточности инженерно-технических мероприятий, мероприятий по физической защите и охране объектов;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монтаж, эксплуатация и техническое обслуживание инженерно-технических средств охраны и средств пожаротушения объектов;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осуществление внутреннего контроля в области обеспечения безопасности объектов;</w:t>
      </w:r>
    </w:p>
    <w:p>
      <w:pPr>
        <w:pStyle w:val="Normal"/>
        <w:widowControl w:val="false"/>
        <w:jc w:val="both"/>
        <w:rPr>
          <w:sz w:val="20"/>
          <w:szCs w:val="20"/>
        </w:rPr>
      </w:pPr>
      <w:r>
        <w:rPr>
          <w:sz w:val="20"/>
          <w:szCs w:val="20"/>
        </w:rPr>
        <w:t>- охрана объектов;</w:t>
      </w:r>
    </w:p>
    <w:p>
      <w:pPr>
        <w:pStyle w:val="Normal"/>
        <w:widowControl w:val="false"/>
        <w:jc w:val="both"/>
        <w:rPr/>
      </w:pPr>
      <w:r>
        <w:rPr>
          <w:sz w:val="20"/>
          <w:szCs w:val="20"/>
        </w:rPr>
        <w:t>- разработка, монтаж и эксплуатация информационных систем, информационно-телекоммуникационных сетей и систем защиты информации и информационно-телекоммуникационных сетей объектов.</w:t>
      </w:r>
    </w:p>
  </w:footnote>
  <w:footnote w:id="7">
    <w:p>
      <w:pPr>
        <w:pStyle w:val="FootnoteText"/>
        <w:jc w:val="both"/>
        <w:rPr/>
      </w:pPr>
      <w:r>
        <w:rPr>
          <w:rStyle w:val="Style9"/>
        </w:rPr>
        <w:footnoteRef/>
      </w:r>
      <w:r>
        <w:rPr/>
        <w:t xml:space="preserve"> </w:t>
      </w:r>
      <w:r>
        <w:rPr/>
        <w:t>Осмотр (досмотр) автотранспорта на КПП Чиркейской, Ирганайской и Гоцатлинской ГЭС осуществляется сотрудниками охранного учреждения, на КПП остальных Объектов 2 осмотр (досмотр) автотранспорта осуществляется сотрудниками охранного предприятия (на Объекте 3, сотрудниками охранной организации).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67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69</w:t>
    </w:r>
    <w:r>
      <w:rPr/>
      <w:fldChar w:fldCharType="end"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69</w:t>
    </w:r>
    <w:r>
      <w:rPr/>
      <w:fldChar w:fldCharType="end"/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70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74</w:t>
    </w:r>
    <w:r>
      <w:rPr/>
      <w:fldChar w:fldCharType="end"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71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55</w:t>
    </w:r>
    <w:r>
      <w:rPr/>
      <w:fldChar w:fldCharType="end"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40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65</w:t>
    </w:r>
    <w:r>
      <w:rPr/>
      <w:fldChar w:fldCharType="end"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56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lang w:val="en-US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66</w:t>
    </w:r>
    <w:r>
      <w:rPr/>
      <w:fldChar w:fldCharType="end"/>
    </w:r>
  </w:p>
  <w:p>
    <w:pPr>
      <w:pStyle w:val="Header"/>
      <w:rPr>
        <w:lang w:val="en-US"/>
      </w:rPr>
    </w:pPr>
    <w:r>
      <w:rPr>
        <w:lang w:val="en-US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5"/>
      <w:numFmt w:val="decimal"/>
      <w:lvlText w:val="%1."/>
      <w:lvlJc w:val="left"/>
      <w:pPr>
        <w:tabs>
          <w:tab w:val="num" w:pos="0"/>
        </w:tabs>
        <w:ind w:left="2576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383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26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33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04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111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18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889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958" w:hanging="2160"/>
      </w:pPr>
      <w:rPr/>
    </w:lvl>
  </w:abstractNum>
  <w:abstractNum w:abstractNumId="4">
    <w:lvl w:ilvl="0">
      <w:start w:val="19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2"/>
      <w:numFmt w:val="decimal"/>
      <w:lvlText w:val="%1.%2."/>
      <w:lvlJc w:val="left"/>
      <w:pPr>
        <w:tabs>
          <w:tab w:val="num" w:pos="0"/>
        </w:tabs>
        <w:ind w:left="1288" w:hanging="720"/>
      </w:pPr>
      <w:rPr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6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784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52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8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208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76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704" w:hanging="21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6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4"/>
      <w:numFmt w:val="decimal"/>
      <w:lvlText w:val="%1.%2."/>
      <w:lvlJc w:val="left"/>
      <w:pPr>
        <w:tabs>
          <w:tab w:val="num" w:pos="0"/>
        </w:tabs>
        <w:ind w:left="1571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22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3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84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906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68" w:hanging="21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6"/>
      <w:numFmt w:val="decimal"/>
      <w:lvlText w:val="%1.%2."/>
      <w:lvlJc w:val="left"/>
      <w:pPr>
        <w:tabs>
          <w:tab w:val="num" w:pos="0"/>
        </w:tabs>
        <w:ind w:left="157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2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8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90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60" w:hanging="2160"/>
      </w:pPr>
      <w:rPr/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206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0"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11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2"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800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0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924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6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04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608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480" w:hanging="2160"/>
      </w:pPr>
      <w:rPr/>
    </w:lvl>
  </w:abstractNum>
  <w:abstractNum w:abstractNumId="13">
    <w:lvl w:ilvl="0">
      <w:start w:val="14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4"/>
      <w:numFmt w:val="decimal"/>
      <w:lvlText w:val="%1.%2."/>
      <w:lvlJc w:val="left"/>
      <w:pPr>
        <w:tabs>
          <w:tab w:val="num" w:pos="0"/>
        </w:tabs>
        <w:ind w:left="1855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6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652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94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96" w:hanging="2160"/>
      </w:pPr>
      <w:rPr/>
    </w:lvl>
  </w:abstractNum>
  <w:abstractNum w:abstractNumId="14"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3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15">
    <w:lvl w:ilvl="0">
      <w:start w:val="17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6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652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94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96" w:hanging="2160"/>
      </w:pPr>
      <w:rPr/>
    </w:lvl>
  </w:abstractNum>
  <w:abstractNum w:abstractNumId="16"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1320" w:hanging="132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2040" w:hanging="1320"/>
      </w:pPr>
      <w:rPr>
        <w:sz w:val="28"/>
        <w:b w:val="false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60" w:hanging="13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80" w:hanging="132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00" w:hanging="132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2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  <w:rPr/>
    </w:lvl>
  </w:abstractNum>
  <w:abstractNum w:abstractNumId="18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9"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5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20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1">
    <w:lvl w:ilvl="0">
      <w:start w:val="16"/>
      <w:numFmt w:val="decimal"/>
      <w:lvlText w:val="%1."/>
      <w:lvlJc w:val="left"/>
      <w:pPr>
        <w:tabs>
          <w:tab w:val="num" w:pos="0"/>
        </w:tabs>
        <w:ind w:left="600" w:hanging="60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22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633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484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9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906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75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968" w:hanging="2160"/>
      </w:pPr>
      <w:rPr/>
    </w:lvl>
  </w:abstractNum>
  <w:abstractNum w:abstractNumId="22">
    <w:lvl w:ilvl="0">
      <w:start w:val="1"/>
      <w:numFmt w:val="decimal"/>
      <w:lvlText w:val="Глава %1"/>
      <w:lvlJc w:val="left"/>
      <w:pPr>
        <w:tabs>
          <w:tab w:val="num" w:pos="1353"/>
        </w:tabs>
        <w:ind w:left="1353" w:hanging="360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sz w:val="28"/>
        <w:szCs w:val="28"/>
      </w:rPr>
    </w:lvl>
    <w:lvl w:ilvl="2">
      <w:start w:val="4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cs="Symbol" w:hint="default"/>
        <w:color w:val="000000"/>
      </w:rPr>
    </w:lvl>
    <w:lvl w:ilvl="4">
      <w:start w:val="1"/>
      <w:numFmt w:val="bullet"/>
      <w:lvlText w:val=""/>
      <w:lvlJc w:val="left"/>
      <w:pPr>
        <w:tabs>
          <w:tab w:val="num" w:pos="1077"/>
        </w:tabs>
        <w:ind w:left="1080" w:hanging="3"/>
      </w:pPr>
      <w:rPr>
        <w:rFonts w:ascii="Symbol" w:hAnsi="Symbol" w:cs="Symbol"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/>
    </w:lvl>
  </w:abstractNum>
  <w:abstractNum w:abstractNumId="23">
    <w:lvl w:ilvl="0">
      <w:start w:val="4"/>
      <w:numFmt w:val="decimal"/>
      <w:lvlText w:val="%1."/>
      <w:lvlJc w:val="left"/>
      <w:pPr>
        <w:tabs>
          <w:tab w:val="num" w:pos="0"/>
        </w:tabs>
        <w:ind w:left="450" w:hanging="45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/>
    </w:lvl>
  </w:abstractNum>
  <w:abstractNum w:abstractNumId="24"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5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6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7">
    <w:lvl w:ilvl="0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Heading1">
    <w:name w:val="Heading 1"/>
    <w:basedOn w:val="Normal"/>
    <w:next w:val="BodyText"/>
    <w:qFormat/>
    <w:pPr>
      <w:keepNext w:val="true"/>
      <w:numPr>
        <w:ilvl w:val="0"/>
        <w:numId w:val="2"/>
      </w:numPr>
      <w:jc w:val="right"/>
      <w:outlineLvl w:val="0"/>
    </w:pPr>
    <w:rPr>
      <w:rFonts w:eastAsia="Arial Unicode MS"/>
      <w:kern w:val="2"/>
      <w:sz w:val="28"/>
      <w:szCs w:val="28"/>
    </w:rPr>
  </w:style>
  <w:style w:type="paragraph" w:styleId="Heading2">
    <w:name w:val="Heading 2"/>
    <w:basedOn w:val="Normal"/>
    <w:next w:val="BodyText"/>
    <w:qFormat/>
    <w:pPr>
      <w:keepNext w:val="true"/>
      <w:numPr>
        <w:ilvl w:val="1"/>
        <w:numId w:val="2"/>
      </w:numPr>
      <w:jc w:val="center"/>
      <w:outlineLvl w:val="1"/>
    </w:pPr>
    <w:rPr>
      <w:rFonts w:eastAsia="Arial Unicode MS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2z0" w:customStyle="1">
    <w:name w:val="WW8Num2z0"/>
    <w:qFormat/>
    <w:rPr/>
  </w:style>
  <w:style w:type="character" w:styleId="WW8Num3z0" w:customStyle="1">
    <w:name w:val="WW8Num3z0"/>
    <w:qFormat/>
    <w:rPr/>
  </w:style>
  <w:style w:type="character" w:styleId="WW8Num4z0" w:customStyle="1">
    <w:name w:val="WW8Num4z0"/>
    <w:qFormat/>
    <w:rPr/>
  </w:style>
  <w:style w:type="character" w:styleId="WW8Num5z0" w:customStyle="1">
    <w:name w:val="WW8Num5z0"/>
    <w:qFormat/>
    <w:rPr>
      <w:rFonts w:ascii="Symbol" w:hAnsi="Symbol" w:cs="Symbol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2" w:customStyle="1">
    <w:name w:val="WW8Num5z2"/>
    <w:qFormat/>
    <w:rPr>
      <w:rFonts w:ascii="Wingdings" w:hAnsi="Wingdings" w:cs="Wingdings"/>
    </w:rPr>
  </w:style>
  <w:style w:type="character" w:styleId="WW8Num6z0" w:customStyle="1">
    <w:name w:val="WW8Num6z0"/>
    <w:qFormat/>
    <w:rPr/>
  </w:style>
  <w:style w:type="character" w:styleId="WW8Num7z0" w:customStyle="1">
    <w:name w:val="WW8Num7z0"/>
    <w:qFormat/>
    <w:rPr/>
  </w:style>
  <w:style w:type="character" w:styleId="WW8Num8z0" w:customStyle="1">
    <w:name w:val="WW8Num8z0"/>
    <w:qFormat/>
    <w:rPr>
      <w:rFonts w:ascii="Symbol" w:hAnsi="Symbol" w:cs="Symbol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2" w:customStyle="1">
    <w:name w:val="WW8Num8z2"/>
    <w:qFormat/>
    <w:rPr>
      <w:rFonts w:ascii="Wingdings" w:hAnsi="Wingdings" w:cs="Wingdings"/>
    </w:rPr>
  </w:style>
  <w:style w:type="character" w:styleId="WW8Num9z0" w:customStyle="1">
    <w:name w:val="WW8Num9z0"/>
    <w:qFormat/>
    <w:rPr/>
  </w:style>
  <w:style w:type="character" w:styleId="WW8Num10z0" w:customStyle="1">
    <w:name w:val="WW8Num10z0"/>
    <w:qFormat/>
    <w:rPr>
      <w:rFonts w:ascii="Times New Roman" w:hAnsi="Times New Roman" w:cs="Times New Roman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0z3" w:customStyle="1">
    <w:name w:val="WW8Num10z3"/>
    <w:qFormat/>
    <w:rPr>
      <w:rFonts w:ascii="Symbol" w:hAnsi="Symbol" w:cs="Symbol"/>
    </w:rPr>
  </w:style>
  <w:style w:type="character" w:styleId="WW8Num11z0" w:customStyle="1">
    <w:name w:val="WW8Num11z0"/>
    <w:qFormat/>
    <w:rPr/>
  </w:style>
  <w:style w:type="character" w:styleId="WW8Num12z0" w:customStyle="1">
    <w:name w:val="WW8Num12z0"/>
    <w:qFormat/>
    <w:rPr>
      <w:rFonts w:ascii="Times New Roman" w:hAnsi="Times New Roman" w:eastAsia="Times New Roman" w:cs="Times New Roman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3z0" w:customStyle="1">
    <w:name w:val="WW8Num13z0"/>
    <w:qFormat/>
    <w:rPr>
      <w:rFonts w:ascii="Times New Roman" w:hAnsi="Times New Roman" w:cs="Times New Roman"/>
    </w:rPr>
  </w:style>
  <w:style w:type="character" w:styleId="WW8Num13z1" w:customStyle="1">
    <w:name w:val="WW8Num13z1"/>
    <w:qFormat/>
    <w:rPr>
      <w:sz w:val="24"/>
    </w:rPr>
  </w:style>
  <w:style w:type="character" w:styleId="WW8Num13z3" w:customStyle="1">
    <w:name w:val="WW8Num13z3"/>
    <w:qFormat/>
    <w:rPr>
      <w:rFonts w:ascii="Symbol" w:hAnsi="Symbol" w:cs="Symbol"/>
    </w:rPr>
  </w:style>
  <w:style w:type="character" w:styleId="WW8Num13z4" w:customStyle="1">
    <w:name w:val="WW8Num13z4"/>
    <w:qFormat/>
    <w:rPr>
      <w:rFonts w:ascii="Courier New" w:hAnsi="Courier New" w:cs="Courier New"/>
    </w:rPr>
  </w:style>
  <w:style w:type="character" w:styleId="WW8Num13z5" w:customStyle="1">
    <w:name w:val="WW8Num13z5"/>
    <w:qFormat/>
    <w:rPr>
      <w:rFonts w:ascii="Wingdings" w:hAnsi="Wingdings" w:cs="Wingdings"/>
    </w:rPr>
  </w:style>
  <w:style w:type="character" w:styleId="WW8Num14z0" w:customStyle="1">
    <w:name w:val="WW8Num14z0"/>
    <w:qFormat/>
    <w:rPr/>
  </w:style>
  <w:style w:type="character" w:styleId="WW8Num15z0" w:customStyle="1">
    <w:name w:val="WW8Num15z0"/>
    <w:qFormat/>
    <w:rPr/>
  </w:style>
  <w:style w:type="character" w:styleId="WW8Num15z3" w:customStyle="1">
    <w:name w:val="WW8Num15z3"/>
    <w:qFormat/>
    <w:rPr>
      <w:rFonts w:ascii="Symbol" w:hAnsi="Symbol" w:cs="Symbol"/>
      <w:color w:val="000000"/>
    </w:rPr>
  </w:style>
  <w:style w:type="character" w:styleId="WW8Num16z0" w:customStyle="1">
    <w:name w:val="WW8Num16z0"/>
    <w:qFormat/>
    <w:rPr/>
  </w:style>
  <w:style w:type="character" w:styleId="WW8Num17z0" w:customStyle="1">
    <w:name w:val="WW8Num17z0"/>
    <w:qFormat/>
    <w:rPr/>
  </w:style>
  <w:style w:type="character" w:styleId="WW8Num18z0" w:customStyle="1">
    <w:name w:val="WW8Num18z0"/>
    <w:qFormat/>
    <w:rPr>
      <w:rFonts w:ascii="Times New Roman" w:hAnsi="Times New Roman" w:eastAsia="Times New Roman" w:cs="Times New Roman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9z0" w:customStyle="1">
    <w:name w:val="WW8Num19z0"/>
    <w:qFormat/>
    <w:rPr>
      <w:rFonts w:ascii="Times New Roman" w:hAnsi="Times New Roman" w:eastAsia="Times New Roman" w:cs="Times New Roman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19z3" w:customStyle="1">
    <w:name w:val="WW8Num19z3"/>
    <w:qFormat/>
    <w:rPr>
      <w:rFonts w:ascii="Symbol" w:hAnsi="Symbol" w:cs="Symbol"/>
    </w:rPr>
  </w:style>
  <w:style w:type="character" w:styleId="WW8Num20z0" w:customStyle="1">
    <w:name w:val="WW8Num20z0"/>
    <w:qFormat/>
    <w:rPr/>
  </w:style>
  <w:style w:type="character" w:styleId="WW8Num21z0" w:customStyle="1">
    <w:name w:val="WW8Num21z0"/>
    <w:qFormat/>
    <w:rPr/>
  </w:style>
  <w:style w:type="character" w:styleId="WW8Num22z0" w:customStyle="1">
    <w:name w:val="WW8Num22z0"/>
    <w:qFormat/>
    <w:rPr>
      <w:rFonts w:ascii="Tahoma" w:hAnsi="Tahoma" w:cs="Tahoma"/>
    </w:rPr>
  </w:style>
  <w:style w:type="character" w:styleId="WW8Num22z1" w:customStyle="1">
    <w:name w:val="WW8Num22z1"/>
    <w:qFormat/>
    <w:rPr>
      <w:rFonts w:ascii="Courier New" w:hAnsi="Courier New" w:cs="Courier New"/>
    </w:rPr>
  </w:style>
  <w:style w:type="character" w:styleId="WW8Num22z2" w:customStyle="1">
    <w:name w:val="WW8Num22z2"/>
    <w:qFormat/>
    <w:rPr>
      <w:rFonts w:ascii="Wingdings" w:hAnsi="Wingdings" w:cs="Wingdings"/>
    </w:rPr>
  </w:style>
  <w:style w:type="character" w:styleId="WW8Num22z3" w:customStyle="1">
    <w:name w:val="WW8Num22z3"/>
    <w:qFormat/>
    <w:rPr>
      <w:rFonts w:ascii="Symbol" w:hAnsi="Symbol" w:cs="Symbol"/>
    </w:rPr>
  </w:style>
  <w:style w:type="character" w:styleId="WW8Num23z0" w:customStyle="1">
    <w:name w:val="WW8Num23z0"/>
    <w:qFormat/>
    <w:rPr/>
  </w:style>
  <w:style w:type="character" w:styleId="WW8Num24z0" w:customStyle="1">
    <w:name w:val="WW8Num24z0"/>
    <w:qFormat/>
    <w:rPr>
      <w:rFonts w:ascii="Times New Roman" w:hAnsi="Times New Roman" w:eastAsia="Times New Roman" w:cs="Times New Roman"/>
    </w:rPr>
  </w:style>
  <w:style w:type="character" w:styleId="WW8Num24z1" w:customStyle="1">
    <w:name w:val="WW8Num24z1"/>
    <w:qFormat/>
    <w:rPr>
      <w:rFonts w:ascii="Courier New" w:hAnsi="Courier New" w:cs="Courier New"/>
    </w:rPr>
  </w:style>
  <w:style w:type="character" w:styleId="WW8Num24z2" w:customStyle="1">
    <w:name w:val="WW8Num24z2"/>
    <w:qFormat/>
    <w:rPr>
      <w:rFonts w:ascii="Wingdings" w:hAnsi="Wingdings" w:cs="Wingdings"/>
    </w:rPr>
  </w:style>
  <w:style w:type="character" w:styleId="WW8Num24z3" w:customStyle="1">
    <w:name w:val="WW8Num24z3"/>
    <w:qFormat/>
    <w:rPr>
      <w:rFonts w:ascii="Symbol" w:hAnsi="Symbol" w:cs="Symbol"/>
    </w:rPr>
  </w:style>
  <w:style w:type="character" w:styleId="WW8Num25z0" w:customStyle="1">
    <w:name w:val="WW8Num25z0"/>
    <w:qFormat/>
    <w:rPr>
      <w:rFonts w:ascii="Times New Roman" w:hAnsi="Times New Roman" w:eastAsia="Times New Roman" w:cs="Times New Roman"/>
    </w:rPr>
  </w:style>
  <w:style w:type="character" w:styleId="WW8Num25z1" w:customStyle="1">
    <w:name w:val="WW8Num25z1"/>
    <w:qFormat/>
    <w:rPr>
      <w:rFonts w:ascii="Courier New" w:hAnsi="Courier New" w:cs="Courier New"/>
    </w:rPr>
  </w:style>
  <w:style w:type="character" w:styleId="WW8Num25z2" w:customStyle="1">
    <w:name w:val="WW8Num25z2"/>
    <w:qFormat/>
    <w:rPr>
      <w:rFonts w:ascii="Wingdings" w:hAnsi="Wingdings" w:cs="Wingdings"/>
    </w:rPr>
  </w:style>
  <w:style w:type="character" w:styleId="WW8Num25z3" w:customStyle="1">
    <w:name w:val="WW8Num25z3"/>
    <w:qFormat/>
    <w:rPr>
      <w:rFonts w:ascii="Symbol" w:hAnsi="Symbol" w:cs="Symbol"/>
    </w:rPr>
  </w:style>
  <w:style w:type="character" w:styleId="WW8Num26z0" w:customStyle="1">
    <w:name w:val="WW8Num26z0"/>
    <w:qFormat/>
    <w:rPr/>
  </w:style>
  <w:style w:type="character" w:styleId="WW8Num27z0" w:customStyle="1">
    <w:name w:val="WW8Num27z0"/>
    <w:qFormat/>
    <w:rPr>
      <w:rFonts w:ascii="Symbol" w:hAnsi="Symbol" w:cs="Symbol"/>
    </w:rPr>
  </w:style>
  <w:style w:type="character" w:styleId="WW8Num27z1" w:customStyle="1">
    <w:name w:val="WW8Num27z1"/>
    <w:qFormat/>
    <w:rPr>
      <w:rFonts w:ascii="Courier New" w:hAnsi="Courier New" w:cs="Courier New"/>
    </w:rPr>
  </w:style>
  <w:style w:type="character" w:styleId="WW8Num27z2" w:customStyle="1">
    <w:name w:val="WW8Num27z2"/>
    <w:qFormat/>
    <w:rPr>
      <w:rFonts w:ascii="Wingdings" w:hAnsi="Wingdings" w:cs="Wingdings"/>
    </w:rPr>
  </w:style>
  <w:style w:type="character" w:styleId="WW8Num28z0" w:customStyle="1">
    <w:name w:val="WW8Num28z0"/>
    <w:qFormat/>
    <w:rPr/>
  </w:style>
  <w:style w:type="character" w:styleId="WW8Num29z0" w:customStyle="1">
    <w:name w:val="WW8Num29z0"/>
    <w:qFormat/>
    <w:rPr>
      <w:sz w:val="28"/>
      <w:szCs w:val="28"/>
    </w:rPr>
  </w:style>
  <w:style w:type="character" w:styleId="WW8Num29z2" w:customStyle="1">
    <w:name w:val="WW8Num29z2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29z3" w:customStyle="1">
    <w:name w:val="WW8Num29z3"/>
    <w:qFormat/>
    <w:rPr>
      <w:rFonts w:ascii="Symbol" w:hAnsi="Symbol" w:cs="Symbol"/>
      <w:color w:val="000000"/>
    </w:rPr>
  </w:style>
  <w:style w:type="character" w:styleId="WW8Num29z5" w:customStyle="1">
    <w:name w:val="WW8Num29z5"/>
    <w:qFormat/>
    <w:rPr/>
  </w:style>
  <w:style w:type="character" w:styleId="WW8Num30z0" w:customStyle="1">
    <w:name w:val="WW8Num30z0"/>
    <w:qFormat/>
    <w:rPr/>
  </w:style>
  <w:style w:type="character" w:styleId="WW8Num31z0" w:customStyle="1">
    <w:name w:val="WW8Num31z0"/>
    <w:qFormat/>
    <w:rPr/>
  </w:style>
  <w:style w:type="character" w:styleId="WW8Num32z0" w:customStyle="1">
    <w:name w:val="WW8Num32z0"/>
    <w:qFormat/>
    <w:rPr>
      <w:rFonts w:ascii="Times New Roman" w:hAnsi="Times New Roman" w:eastAsia="Times New Roman" w:cs="Times New Roman"/>
    </w:rPr>
  </w:style>
  <w:style w:type="character" w:styleId="WW8Num32z1" w:customStyle="1">
    <w:name w:val="WW8Num32z1"/>
    <w:qFormat/>
    <w:rPr>
      <w:rFonts w:ascii="Courier New" w:hAnsi="Courier New" w:cs="Courier New"/>
    </w:rPr>
  </w:style>
  <w:style w:type="character" w:styleId="WW8Num32z2" w:customStyle="1">
    <w:name w:val="WW8Num32z2"/>
    <w:qFormat/>
    <w:rPr>
      <w:rFonts w:ascii="Wingdings" w:hAnsi="Wingdings" w:cs="Wingdings"/>
    </w:rPr>
  </w:style>
  <w:style w:type="character" w:styleId="WW8Num32z3" w:customStyle="1">
    <w:name w:val="WW8Num32z3"/>
    <w:qFormat/>
    <w:rPr>
      <w:rFonts w:ascii="Symbol" w:hAnsi="Symbol" w:cs="Symbol"/>
    </w:rPr>
  </w:style>
  <w:style w:type="character" w:styleId="WW8Num33z0" w:customStyle="1">
    <w:name w:val="WW8Num33z0"/>
    <w:qFormat/>
    <w:rPr/>
  </w:style>
  <w:style w:type="character" w:styleId="WW8Num34z0" w:customStyle="1">
    <w:name w:val="WW8Num34z0"/>
    <w:qFormat/>
    <w:rPr>
      <w:sz w:val="28"/>
      <w:szCs w:val="28"/>
    </w:rPr>
  </w:style>
  <w:style w:type="character" w:styleId="WW8Num34z1" w:customStyle="1">
    <w:name w:val="WW8Num34z1"/>
    <w:qFormat/>
    <w:rPr/>
  </w:style>
  <w:style w:type="character" w:styleId="WW8Num34z3" w:customStyle="1">
    <w:name w:val="WW8Num34z3"/>
    <w:qFormat/>
    <w:rPr>
      <w:rFonts w:ascii="Symbol" w:hAnsi="Symbol" w:cs="Symbol"/>
      <w:color w:val="000000"/>
    </w:rPr>
  </w:style>
  <w:style w:type="character" w:styleId="WW8Num35z0" w:customStyle="1">
    <w:name w:val="WW8Num35z0"/>
    <w:qFormat/>
    <w:rPr>
      <w:rFonts w:ascii="Tahoma" w:hAnsi="Tahoma" w:cs="Tahoma"/>
    </w:rPr>
  </w:style>
  <w:style w:type="character" w:styleId="WW8Num35z1" w:customStyle="1">
    <w:name w:val="WW8Num35z1"/>
    <w:qFormat/>
    <w:rPr>
      <w:rFonts w:ascii="Courier New" w:hAnsi="Courier New" w:cs="Courier New"/>
    </w:rPr>
  </w:style>
  <w:style w:type="character" w:styleId="WW8Num35z2" w:customStyle="1">
    <w:name w:val="WW8Num35z2"/>
    <w:qFormat/>
    <w:rPr>
      <w:rFonts w:ascii="Wingdings" w:hAnsi="Wingdings" w:cs="Wingdings"/>
    </w:rPr>
  </w:style>
  <w:style w:type="character" w:styleId="WW8Num35z3" w:customStyle="1">
    <w:name w:val="WW8Num35z3"/>
    <w:qFormat/>
    <w:rPr>
      <w:rFonts w:ascii="Symbol" w:hAnsi="Symbol" w:cs="Symbol"/>
    </w:rPr>
  </w:style>
  <w:style w:type="character" w:styleId="WW8Num36z0" w:customStyle="1">
    <w:name w:val="WW8Num36z0"/>
    <w:qFormat/>
    <w:rPr>
      <w:rFonts w:ascii="Times New Roman" w:hAnsi="Times New Roman" w:eastAsia="Times New Roman" w:cs="Times New Roman"/>
    </w:rPr>
  </w:style>
  <w:style w:type="character" w:styleId="WW8Num37z0" w:customStyle="1">
    <w:name w:val="WW8Num37z0"/>
    <w:qFormat/>
    <w:rPr>
      <w:rFonts w:ascii="Times New Roman" w:hAnsi="Times New Roman" w:eastAsia="Times New Roman" w:cs="Times New Roman"/>
    </w:rPr>
  </w:style>
  <w:style w:type="character" w:styleId="WW8Num37z1" w:customStyle="1">
    <w:name w:val="WW8Num37z1"/>
    <w:qFormat/>
    <w:rPr>
      <w:rFonts w:ascii="Courier New" w:hAnsi="Courier New" w:cs="Courier New"/>
    </w:rPr>
  </w:style>
  <w:style w:type="character" w:styleId="WW8Num37z2" w:customStyle="1">
    <w:name w:val="WW8Num37z2"/>
    <w:qFormat/>
    <w:rPr>
      <w:rFonts w:ascii="Wingdings" w:hAnsi="Wingdings" w:cs="Wingdings"/>
    </w:rPr>
  </w:style>
  <w:style w:type="character" w:styleId="WW8Num37z3" w:customStyle="1">
    <w:name w:val="WW8Num37z3"/>
    <w:qFormat/>
    <w:rPr>
      <w:rFonts w:ascii="Symbol" w:hAnsi="Symbol" w:cs="Symbol"/>
    </w:rPr>
  </w:style>
  <w:style w:type="character" w:styleId="WW8Num38z0" w:customStyle="1">
    <w:name w:val="WW8Num38z0"/>
    <w:qFormat/>
    <w:rPr>
      <w:rFonts w:ascii="Symbol" w:hAnsi="Symbol" w:cs="Symbol"/>
    </w:rPr>
  </w:style>
  <w:style w:type="character" w:styleId="WW8Num38z1" w:customStyle="1">
    <w:name w:val="WW8Num38z1"/>
    <w:qFormat/>
    <w:rPr>
      <w:rFonts w:ascii="Courier New" w:hAnsi="Courier New" w:cs="Courier New"/>
    </w:rPr>
  </w:style>
  <w:style w:type="character" w:styleId="WW8Num38z2" w:customStyle="1">
    <w:name w:val="WW8Num38z2"/>
    <w:qFormat/>
    <w:rPr>
      <w:rFonts w:ascii="Wingdings" w:hAnsi="Wingdings" w:cs="Wingdings"/>
    </w:rPr>
  </w:style>
  <w:style w:type="character" w:styleId="WW8Num39z0" w:customStyle="1">
    <w:name w:val="WW8Num39z0"/>
    <w:qFormat/>
    <w:rPr>
      <w:rFonts w:ascii="Symbol" w:hAnsi="Symbol" w:cs="Symbol"/>
    </w:rPr>
  </w:style>
  <w:style w:type="character" w:styleId="WW8Num39z1" w:customStyle="1">
    <w:name w:val="WW8Num39z1"/>
    <w:qFormat/>
    <w:rPr>
      <w:rFonts w:ascii="Courier New" w:hAnsi="Courier New" w:cs="Courier New"/>
    </w:rPr>
  </w:style>
  <w:style w:type="character" w:styleId="WW8Num39z2" w:customStyle="1">
    <w:name w:val="WW8Num39z2"/>
    <w:qFormat/>
    <w:rPr>
      <w:rFonts w:ascii="Wingdings" w:hAnsi="Wingdings" w:cs="Wingdings"/>
    </w:rPr>
  </w:style>
  <w:style w:type="character" w:styleId="1" w:customStyle="1">
    <w:name w:val="Основной шрифт абзаца1"/>
    <w:qFormat/>
    <w:rPr/>
  </w:style>
  <w:style w:type="character" w:styleId="Pagenumber">
    <w:name w:val="page number"/>
    <w:basedOn w:val="1"/>
    <w:qFormat/>
    <w:rPr/>
  </w:style>
  <w:style w:type="character" w:styleId="11" w:customStyle="1">
    <w:name w:val="Знак примечания1"/>
    <w:qFormat/>
    <w:rPr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Style7" w:customStyle="1">
    <w:name w:val="Основной текст с отступом Знак"/>
    <w:qFormat/>
    <w:rPr>
      <w:rFonts w:eastAsia="Arial Unicode MS"/>
      <w:sz w:val="28"/>
      <w:szCs w:val="28"/>
    </w:rPr>
  </w:style>
  <w:style w:type="character" w:styleId="Style8" w:customStyle="1">
    <w:name w:val="Текст сноски Знак"/>
    <w:basedOn w:val="1"/>
    <w:qFormat/>
    <w:rPr/>
  </w:style>
  <w:style w:type="character" w:styleId="Style9" w:customStyle="1">
    <w:name w:val="Символ сноски"/>
    <w:qFormat/>
    <w:rPr>
      <w:vertAlign w:val="superscript"/>
    </w:rPr>
  </w:style>
  <w:style w:type="character" w:styleId="Style10" w:customStyle="1">
    <w:name w:val="Основной текст_"/>
    <w:qFormat/>
    <w:rPr>
      <w:sz w:val="26"/>
      <w:szCs w:val="26"/>
      <w:shd w:fill="FFFFFF" w:val="clear"/>
    </w:rPr>
  </w:style>
  <w:style w:type="character" w:styleId="Style11" w:customStyle="1">
    <w:name w:val="Название Знак"/>
    <w:qFormat/>
    <w:rPr>
      <w:sz w:val="28"/>
      <w:szCs w:val="24"/>
      <w:lang w:val="x-none"/>
    </w:rPr>
  </w:style>
  <w:style w:type="character" w:styleId="Style12" w:customStyle="1">
    <w:name w:val="Верхний колонтитул Знак"/>
    <w:qFormat/>
    <w:rPr>
      <w:sz w:val="24"/>
      <w:szCs w:val="24"/>
    </w:rPr>
  </w:style>
  <w:style w:type="character" w:styleId="12" w:customStyle="1">
    <w:name w:val="Заголовок 1 Знак"/>
    <w:qFormat/>
    <w:rPr>
      <w:rFonts w:eastAsia="Arial Unicode MS"/>
      <w:kern w:val="2"/>
      <w:sz w:val="28"/>
      <w:szCs w:val="28"/>
    </w:rPr>
  </w:style>
  <w:style w:type="character" w:styleId="2" w:customStyle="1">
    <w:name w:val="Заголовок 2 Знак"/>
    <w:qFormat/>
    <w:rPr>
      <w:rFonts w:eastAsia="Arial Unicode MS"/>
      <w:sz w:val="28"/>
      <w:szCs w:val="28"/>
    </w:rPr>
  </w:style>
  <w:style w:type="character" w:styleId="Style13" w:customStyle="1">
    <w:name w:val="Основной текст Знак"/>
    <w:qFormat/>
    <w:rPr>
      <w:rFonts w:eastAsia="Arial Unicode MS"/>
      <w:sz w:val="28"/>
      <w:szCs w:val="28"/>
    </w:rPr>
  </w:style>
  <w:style w:type="character" w:styleId="Style14" w:customStyle="1">
    <w:name w:val="Нижний колонтитул Знак"/>
    <w:qFormat/>
    <w:rPr>
      <w:sz w:val="24"/>
      <w:szCs w:val="24"/>
    </w:rPr>
  </w:style>
  <w:style w:type="character" w:styleId="Style15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 w:customStyle="1">
    <w:name w:val="Текст примечания Знак"/>
    <w:qFormat/>
    <w:rPr/>
  </w:style>
  <w:style w:type="character" w:styleId="Style17" w:customStyle="1">
    <w:name w:val="Тема примечания Знак"/>
    <w:qFormat/>
    <w:rPr>
      <w:b/>
      <w:bCs/>
    </w:rPr>
  </w:style>
  <w:style w:type="character" w:styleId="FollowedHyperlink">
    <w:name w:val="FollowedHyperlink"/>
    <w:rPr>
      <w:color w:val="954F72"/>
      <w:u w:val="single"/>
    </w:rPr>
  </w:style>
  <w:style w:type="character" w:styleId="3" w:customStyle="1">
    <w:name w:val="Основной текст с отступом 3 Знак"/>
    <w:qFormat/>
    <w:rPr>
      <w:sz w:val="16"/>
      <w:szCs w:val="16"/>
    </w:rPr>
  </w:style>
  <w:style w:type="character" w:styleId="FootnoteReference">
    <w:name w:val="Footnote Reference"/>
    <w:rPr>
      <w:vertAlign w:val="superscript"/>
    </w:rPr>
  </w:style>
  <w:style w:type="character" w:styleId="Style18" w:customStyle="1">
    <w:name w:val="Символ концевой сноски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jc w:val="center"/>
    </w:pPr>
    <w:rPr>
      <w:rFonts w:eastAsia="Arial Unicode MS"/>
      <w:sz w:val="28"/>
      <w:szCs w:val="28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i/>
      <w:iCs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13" w:customStyle="1">
    <w:name w:val="Заголовок1"/>
    <w:basedOn w:val="Normal"/>
    <w:next w:val="BodyText"/>
    <w:qFormat/>
    <w:pPr>
      <w:jc w:val="center"/>
    </w:pPr>
    <w:rPr>
      <w:sz w:val="28"/>
      <w:lang w:val="x-none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i/>
      <w:iCs/>
    </w:rPr>
  </w:style>
  <w:style w:type="paragraph" w:styleId="14" w:customStyle="1">
    <w:name w:val="Указатель1"/>
    <w:basedOn w:val="Normal"/>
    <w:qFormat/>
    <w:pPr>
      <w:suppressLineNumbers/>
    </w:pPr>
    <w:rPr/>
  </w:style>
  <w:style w:type="paragraph" w:styleId="BodyTextIndent">
    <w:name w:val="Body Text Indent"/>
    <w:basedOn w:val="Normal"/>
    <w:pPr>
      <w:ind w:firstLine="720"/>
      <w:jc w:val="both"/>
    </w:pPr>
    <w:rPr>
      <w:rFonts w:eastAsia="Arial Unicode MS"/>
      <w:sz w:val="28"/>
      <w:szCs w:val="28"/>
    </w:rPr>
  </w:style>
  <w:style w:type="paragraph" w:styleId="Style21" w:customStyle="1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  <w:style w:type="paragraph" w:styleId="Header">
    <w:name w:val="Header"/>
    <w:basedOn w:val="Normal"/>
    <w:pPr/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2" w:customStyle="1">
    <w:name w:val="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WW-" w:customStyle="1">
    <w:name w:val="WW-Знак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15" w:customStyle="1">
    <w:name w:val="Текст примечания1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15"/>
    <w:next w:val="15"/>
    <w:qFormat/>
    <w:pPr/>
    <w:rPr>
      <w:b/>
      <w:bCs/>
    </w:rPr>
  </w:style>
  <w:style w:type="paragraph" w:styleId="Revision">
    <w:name w:val="Revision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Char" w:customStyle="1">
    <w:name w:val="Char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TOC1">
    <w:name w:val="TOC 1"/>
    <w:basedOn w:val="Normal"/>
    <w:next w:val="Normal"/>
    <w:pPr>
      <w:spacing w:before="120" w:after="120"/>
    </w:pPr>
    <w:rPr>
      <w:b/>
      <w:bCs/>
      <w:caps/>
      <w:sz w:val="28"/>
      <w:szCs w:val="28"/>
      <w:lang w:eastAsia="ru-RU"/>
    </w:rPr>
  </w:style>
  <w:style w:type="paragraph" w:styleId="TOC2">
    <w:name w:val="TOC 2"/>
    <w:basedOn w:val="Normal"/>
    <w:next w:val="Normal"/>
    <w:pPr>
      <w:tabs>
        <w:tab w:val="clear" w:pos="709"/>
        <w:tab w:val="left" w:pos="1560" w:leader="none"/>
        <w:tab w:val="right" w:pos="9356" w:leader="dot"/>
      </w:tabs>
      <w:ind w:right="-1" w:hanging="0"/>
    </w:pPr>
    <w:rPr>
      <w:smallCaps/>
      <w:sz w:val="20"/>
      <w:szCs w:val="20"/>
    </w:rPr>
  </w:style>
  <w:style w:type="paragraph" w:styleId="FootnoteText">
    <w:name w:val="Footnote Text"/>
    <w:basedOn w:val="Normal"/>
    <w:pPr/>
    <w:rPr>
      <w:sz w:val="20"/>
      <w:szCs w:val="20"/>
    </w:rPr>
  </w:style>
  <w:style w:type="paragraph" w:styleId="16" w:customStyle="1">
    <w:name w:val="Основной текст1"/>
    <w:basedOn w:val="Normal"/>
    <w:qFormat/>
    <w:pPr>
      <w:shd w:val="clear" w:color="auto" w:fill="FFFFFF"/>
      <w:spacing w:lineRule="exact" w:line="192" w:before="120" w:after="540"/>
      <w:jc w:val="center"/>
    </w:pPr>
    <w:rPr>
      <w:sz w:val="26"/>
      <w:szCs w:val="26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31" w:customStyle="1">
    <w:name w:val="Основной текст с отступом 31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yle23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Textbody" w:customStyle="1">
    <w:name w:val="Text body"/>
    <w:basedOn w:val="Normal"/>
    <w:qFormat/>
    <w:pPr>
      <w:spacing w:lineRule="auto" w:line="276" w:before="0" w:after="140"/>
      <w:textAlignment w:val="baseline"/>
    </w:pPr>
    <w:rPr>
      <w:rFonts w:ascii="Liberation Serif" w:hAnsi="Liberation Serif" w:eastAsia="Arial Unicode MS" w:cs="Arial Unicode MS"/>
      <w:kern w:val="2"/>
      <w:lang w:bidi="hi-IN"/>
    </w:rPr>
  </w:style>
  <w:style w:type="paragraph" w:styleId="Style24" w:customStyle="1">
    <w:name w:val="Заголовок таблицы"/>
    <w:basedOn w:val="Style23"/>
    <w:qFormat/>
    <w:pPr>
      <w:jc w:val="center"/>
    </w:pPr>
    <w:rPr>
      <w:b/>
      <w:bCs/>
    </w:rPr>
  </w:style>
  <w:style w:type="paragraph" w:styleId="Style25" w:customStyle="1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image" Target="media/image9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0.jpeg"/><Relationship Id="rId19" Type="http://schemas.openxmlformats.org/officeDocument/2006/relationships/image" Target="media/image11.wmf"/><Relationship Id="rId20" Type="http://schemas.openxmlformats.org/officeDocument/2006/relationships/image" Target="media/image12.wmf"/><Relationship Id="rId21" Type="http://schemas.openxmlformats.org/officeDocument/2006/relationships/image" Target="media/image13.wmf"/><Relationship Id="rId22" Type="http://schemas.openxmlformats.org/officeDocument/2006/relationships/image" Target="media/image14.jpe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header" Target="header6.xml"/><Relationship Id="rId26" Type="http://schemas.openxmlformats.org/officeDocument/2006/relationships/header" Target="header7.xml"/><Relationship Id="rId27" Type="http://schemas.openxmlformats.org/officeDocument/2006/relationships/header" Target="header8.xml"/><Relationship Id="rId28" Type="http://schemas.openxmlformats.org/officeDocument/2006/relationships/header" Target="header9.xml"/><Relationship Id="rId29" Type="http://schemas.openxmlformats.org/officeDocument/2006/relationships/header" Target="header10.xml"/><Relationship Id="rId30" Type="http://schemas.openxmlformats.org/officeDocument/2006/relationships/header" Target="header11.xml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header" Target="header14.xml"/><Relationship Id="rId34" Type="http://schemas.openxmlformats.org/officeDocument/2006/relationships/header" Target="header15.xml"/><Relationship Id="rId35" Type="http://schemas.openxmlformats.org/officeDocument/2006/relationships/header" Target="header16.xml"/><Relationship Id="rId36" Type="http://schemas.openxmlformats.org/officeDocument/2006/relationships/header" Target="header17.xml"/><Relationship Id="rId37" Type="http://schemas.openxmlformats.org/officeDocument/2006/relationships/header" Target="header18.xml"/><Relationship Id="rId38" Type="http://schemas.openxmlformats.org/officeDocument/2006/relationships/header" Target="header19.xml"/><Relationship Id="rId39" Type="http://schemas.openxmlformats.org/officeDocument/2006/relationships/header" Target="header20.xml"/><Relationship Id="rId40" Type="http://schemas.openxmlformats.org/officeDocument/2006/relationships/footnotes" Target="footnotes.xml"/><Relationship Id="rId41" Type="http://schemas.openxmlformats.org/officeDocument/2006/relationships/numbering" Target="numbering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Application>AlterOffice/3.4.0.9$Linux_X86_64 LibreOffice_project/b8daf9e823b1a5463a2f48435ddc2e8696e7d4fc</Application>
  <AppVersion>15.0000</AppVersion>
  <Pages>73</Pages>
  <Words>12619</Words>
  <Characters>90390</Characters>
  <CharactersWithSpaces>103372</CharactersWithSpaces>
  <Paragraphs>1166</Paragraphs>
  <Company>PJSC RusHydro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2024-11-18T15:56:00Z</dcterms:created>
  <dc:creator>Алиев Магомед-Тагир Магомедович</dc:creator>
  <dc:description/>
  <dc:language>ru-RU</dc:language>
  <cp:lastModifiedBy>Омар Каримович Султанаев</cp:lastModifiedBy>
  <cp:lastPrinted>2025-12-11T13:41:51Z</cp:lastPrinted>
  <dcterms:modified xsi:type="dcterms:W3CDTF">2026-05-16T18:54:49Z</dcterms:modified>
  <cp:revision>132</cp:revision>
  <dc:subject/>
  <dc:title>Приложение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r8>0</vt:r8>
  </property>
</Properties>
</file>