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8"/>
        <w:tblW w:w="5386" w:type="dxa"/>
        <w:jc w:val="left"/>
        <w:tblInd w:w="44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86"/>
      </w:tblGrid>
      <w:tr>
        <w:trPr/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</w:t>
      </w:r>
    </w:p>
    <w:tbl>
      <w:tblPr>
        <w:tblStyle w:val="a8"/>
        <w:tblW w:w="609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95"/>
      </w:tblGrid>
      <w:tr>
        <w:trPr>
          <w:trHeight w:val="2622" w:hRule="atLeast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Первый заместитель директора-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Главный инженер Филиала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ПАО «РусГидро» -«Дагестанский филиал»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____________Магомедов М.Ш.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«____»_____________202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г.</w:t>
            </w:r>
          </w:p>
        </w:tc>
      </w:tr>
    </w:tbl>
    <w:p>
      <w:pPr>
        <w:pStyle w:val="Normal"/>
        <w:spacing w:before="0" w:after="0"/>
        <w:ind w:left="5103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spacing w:before="0" w:after="0"/>
        <w:ind w:left="5103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5103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5103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5103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0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0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01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keepNext w:val="true"/>
        <w:keepLines/>
        <w:numPr>
          <w:ilvl w:val="0"/>
          <w:numId w:val="0"/>
        </w:numPr>
        <w:shd w:val="clear" w:color="auto" w:fill="FFFFFF"/>
        <w:spacing w:lineRule="exact" w:line="250" w:before="0" w:after="0"/>
        <w:ind w:left="0" w:hanging="280"/>
        <w:jc w:val="center"/>
        <w:outlineLvl w:val="0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Технические требования 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нструментальное обследование затвора шандорного затвора водоприемника 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Гергебильской ГЭС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»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Лот №  -НИР-202</w:t>
      </w:r>
      <w:r>
        <w:rPr>
          <w:rFonts w:eastAsia="Calibri" w:cs="Times New Roman" w:ascii="Times New Roman" w:hAnsi="Times New Roman"/>
          <w:b/>
          <w:sz w:val="24"/>
          <w:szCs w:val="24"/>
        </w:rPr>
        <w:t>6</w:t>
      </w:r>
      <w:r>
        <w:rPr>
          <w:rFonts w:eastAsia="Calibri" w:cs="Times New Roman" w:ascii="Times New Roman" w:hAnsi="Times New Roman"/>
          <w:b/>
          <w:sz w:val="24"/>
          <w:szCs w:val="24"/>
        </w:rPr>
        <w:t>-ДФ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eastAsia="Calibri" w:cs="Times New Roman" w:ascii="Times New Roman" w:hAnsi="Times New Roman"/>
          <w:b/>
          <w:sz w:val="24"/>
          <w:szCs w:val="24"/>
        </w:rPr>
        <w:t>г. Каспийск 202</w:t>
      </w:r>
      <w:r>
        <w:rPr>
          <w:rFonts w:eastAsia="Calibri" w:cs="Times New Roman" w:ascii="Times New Roman" w:hAnsi="Times New Roman"/>
          <w:b/>
          <w:sz w:val="24"/>
          <w:szCs w:val="24"/>
        </w:rPr>
        <w:t>6</w:t>
      </w:r>
      <w:r>
        <w:rPr>
          <w:rFonts w:eastAsia="Calibri" w:cs="Times New Roman" w:ascii="Times New Roman" w:hAnsi="Times New Roman"/>
          <w:b/>
          <w:sz w:val="24"/>
          <w:szCs w:val="24"/>
        </w:rPr>
        <w:t>.</w:t>
      </w:r>
      <w:r>
        <w:br w:type="page"/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1.Наименование закупаемой продукции (товаров, работ, услуг)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нструментальное обследование затвора шандорного затвора водоприемника </w:t>
      </w:r>
    </w:p>
    <w:p>
      <w:pPr>
        <w:pStyle w:val="NoSpacing"/>
        <w:rPr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Гергебильской ГЭС</w:t>
      </w:r>
      <w:r>
        <w:rPr>
          <w:sz w:val="24"/>
          <w:szCs w:val="24"/>
        </w:rPr>
        <w:t>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2.Заказчик (подразделение  Заказчика)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Филиал ПАО «РусГидро» - «Дагестанский филиал» Республика Дагестан, г. Каспийск,                    ул. Халилова  5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3.Цели и задачи. Существующее положение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Существующее положение.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На Гергебильской ГЭС механическое оборудование ГТС эксплуатируются после первой реконструкции с 1956-60гг. у которых превышает нормативный срок службы.  С целью обеспечения к готовности гидроагрегатов к пуску и пропуска паводка в паводковый сезон необходимо провести инструментальное обследование.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  <w:u w:val="single"/>
        </w:rPr>
        <w:t>Цели и задачи</w:t>
      </w:r>
      <w:r>
        <w:rPr>
          <w:sz w:val="24"/>
          <w:szCs w:val="24"/>
        </w:rPr>
        <w:t xml:space="preserve"> - комплексное обследование механического оборудования ГТС куда входит: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сбор, анализ и обобщение имеющейся на начало работ информации о состоянии и надежности механического оборудования ГТС;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изменения формы крепежных элементов и обнаружения поверхностных дефектов (трещины, коррозийно-усталостных повреждений) образовавшихся в процессе их эксплуатации;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проведение комплексного обследования механического оборудования ГТС с целью оценки его технического состояния для дальнейшей эксплуатации;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Чертежи отсутствуют по шандорного затвора, пазов, штанг и винтового механизма водоприемника Гергебильской ГЭС.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4.Требования к закупаемой продукции (технические и иные характеристики)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Перечень затворов и пазов Гергебильской ГЭС для инструментального обследования.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Таблица 1</w:t>
      </w:r>
    </w:p>
    <w:tbl>
      <w:tblPr>
        <w:tblStyle w:val="2"/>
        <w:tblW w:w="10380" w:type="dxa"/>
        <w:jc w:val="left"/>
        <w:tblInd w:w="194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1e0" w:noHBand="0" w:noVBand="0" w:firstColumn="1" w:lastRow="1" w:lastColumn="1" w:firstRow="1"/>
      </w:tblPr>
      <w:tblGrid>
        <w:gridCol w:w="784"/>
        <w:gridCol w:w="6592"/>
        <w:gridCol w:w="1456"/>
        <w:gridCol w:w="1547"/>
      </w:tblGrid>
      <w:tr>
        <w:trPr/>
        <w:tc>
          <w:tcPr>
            <w:tcW w:w="784" w:type="dxa"/>
            <w:tcBorders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пп</w:t>
            </w:r>
          </w:p>
        </w:tc>
        <w:tc>
          <w:tcPr>
            <w:tcW w:w="6592" w:type="dxa"/>
            <w:tcBorders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</w:t>
            </w:r>
          </w:p>
        </w:tc>
        <w:tc>
          <w:tcPr>
            <w:tcW w:w="1456" w:type="dxa"/>
            <w:tcBorders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Размеры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Примечание </w:t>
            </w:r>
          </w:p>
        </w:tc>
      </w:tr>
      <w:tr>
        <w:trPr/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Ш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андорн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ый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 xml:space="preserve"> затвор водоприемника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1,0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 х 2,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Обследование выполняется в период заполнения  водохранилища Гунибской ГЭС</w:t>
            </w:r>
          </w:p>
        </w:tc>
      </w:tr>
      <w:tr>
        <w:trPr/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5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Пазы ш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андорного затвора водоприемника  закладных частей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2,5</w:t>
            </w:r>
          </w:p>
        </w:tc>
        <w:tc>
          <w:tcPr>
            <w:tcW w:w="15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65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Штанга ш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андорн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ого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 xml:space="preserve"> затвор водоприемника 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</w:t>
            </w:r>
          </w:p>
        </w:tc>
        <w:tc>
          <w:tcPr>
            <w:tcW w:w="15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65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Винтовой механизм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ш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андорн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ого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 xml:space="preserve"> затвор водоприемника 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</w:t>
            </w:r>
          </w:p>
        </w:tc>
        <w:tc>
          <w:tcPr>
            <w:tcW w:w="15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а)</w:t>
        <w:tab/>
        <w:t>В объём работ по обследованию затворов входят: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визуальный и инструментальный контроль геометрических размеров металлоконструкций, опорных и катковых узлов;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проведение обследования направляющих, порога, забральной балки и др. для оценки общего состояния закладных частей;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обследование тяг, подхватов, зацепов и другой специальной оснастки для подъема, опускания затвора;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обследование резинового уплотнения по периметру затвора;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обследование втулок подшипников скольжения в катковых опорах;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обследование механическая обработка рабочей поверхности катковых опор;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обследование крепежных элементов;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обследование антикоррозионной защиты оборудования;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составление карт замеров, формуляров, протоколов и выдача рекомендации по дальнейшем техническом воздействии.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/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б</w:t>
      </w:r>
      <w:r>
        <w:rPr>
          <w:sz w:val="24"/>
          <w:szCs w:val="24"/>
        </w:rPr>
        <w:t>)   По</w:t>
        <w:tab/>
        <w:t>результатам работы выдается: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-Технический отчет о проведенной работе (представить на бумажном (кол-во 3 экз.) и на электронном носителе в формате *</w:t>
      </w:r>
      <w:r>
        <w:rPr>
          <w:sz w:val="24"/>
          <w:szCs w:val="24"/>
          <w:lang w:val="en-US"/>
        </w:rPr>
        <w:t>doc</w:t>
      </w:r>
      <w:r>
        <w:rPr>
          <w:sz w:val="24"/>
          <w:szCs w:val="24"/>
        </w:rPr>
        <w:t>, *</w:t>
      </w:r>
      <w:r>
        <w:rPr>
          <w:sz w:val="24"/>
          <w:szCs w:val="24"/>
          <w:lang w:val="en-US"/>
        </w:rPr>
        <w:t>xls</w:t>
      </w:r>
      <w:r>
        <w:rPr>
          <w:sz w:val="24"/>
          <w:szCs w:val="24"/>
        </w:rPr>
        <w:t>.)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Заключение о состояния механического оборудования ГТС с рекомендациями по дальнейшей его эксплуатации;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5.Сроки поставки товаров, выполнения работ, оказания услуг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Начало работ: с даты подписания договора.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Окончание работ: 10.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.202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8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6. Иные условия поставки товаров, выполнения работ, оказания услуг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Для оценки стоимости и объема работ поставщику услуг предоставляется право ознакомиться с местом производства работ, имеющейся на станции рабочей документацией, провести переговоры со специалистами станции. 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Проведение работ по обследованию должны быть согласованы с ответственным персоналом ОП «Ирганайская ГЭС» и оперативной службой для возможности корректного вывода оборудования для обследования без помех оперативной работе станции. 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7. Требования к поставщику (подрядчику, исполнителю)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2</w:t>
      </w:r>
    </w:p>
    <w:tbl>
      <w:tblPr>
        <w:tblW w:w="988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75"/>
        <w:gridCol w:w="1985"/>
        <w:gridCol w:w="7229"/>
      </w:tblGrid>
      <w:tr>
        <w:trPr>
          <w:trHeight w:val="96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Требование заказчика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>
          <w:trHeight w:val="3256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Toc440913441"/>
            <w:r>
              <w:rPr>
                <w:rFonts w:cs="Times New Roman" w:ascii="Times New Roman" w:hAnsi="Times New Roman"/>
                <w:sz w:val="24"/>
                <w:szCs w:val="24"/>
              </w:rPr>
              <w:t>Материально-техническое оснащение</w:t>
            </w:r>
            <w:bookmarkEnd w:id="0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Участник должен подтвердить наличие в собственности либо на ином законном основании (в собственности, либо на ином законном основании) оборудования, инструмента и приспособлений, необходимых для производства работ по данному лоту. Минимальные требования к техническому оснащению: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Компьютер для обработки информации -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1комплект.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Дефектоскоп проникающими веществами -1комплект.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Комплект слесарных инструментов -1комплект.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Фотоаппарат -1комплект.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Индикатор концентрации напряжений -1комплект.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Твердомер-1комплект.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Комплект для визуального и измерительного контроля - 1комплект.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Пояс предохранительный - 3комплекта.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Толщиномер-1комплект.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Подтверждается предоставлением Справки о материально-технических ресурсах, подготовленной по форме, приведенной в Документации о закупке.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Toc440913450"/>
            <w:r>
              <w:rPr>
                <w:rFonts w:cs="Times New Roman" w:ascii="Times New Roman" w:hAnsi="Times New Roman"/>
                <w:sz w:val="24"/>
                <w:szCs w:val="24"/>
              </w:rPr>
              <w:t>Наличие квалифицированного персонала (наладка)</w:t>
            </w:r>
            <w:bookmarkEnd w:id="1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в штате Участника закупки собственного или привлеченного персонала (по трудовым либо по гражданско-правовым договорам) не менее:</w:t>
            </w:r>
          </w:p>
          <w:p>
            <w:pPr>
              <w:pStyle w:val="2"/>
              <w:widowControl w:val="false"/>
              <w:shd w:val="clear" w:color="auto" w:fill="auto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Два в</w:t>
            </w:r>
            <w:r>
              <w:rPr>
                <w:rStyle w:val="105pt"/>
                <w:sz w:val="24"/>
                <w:szCs w:val="24"/>
              </w:rPr>
              <w:t>едущих инженера</w:t>
            </w:r>
            <w:r>
              <w:rPr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Один старший научный сотрудник;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Один специалист;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Персонал должен сопровождается квалификационным удостоверениями УК; ВИК; ПВК.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Соответствие установленным требованиям подтверждается путем представления участником закупки в составе заявки справки о кадровых ресурсах по форме, приведенной в Документации о закупке при этом заказчик вправе запросить копии квалификационных аттестатов/дипломов/ сертификатов специалистов.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Требование к опыту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Наличие у участника закупки опыта выполнения работ по техническому диагностированию с применением неразрушающего контроля состояния металла, за последние 5-лет предшествующие дате окончания срока подачи заявок на участие в настоящей закупочной процедуре, при этом Участником должны быть исполнены обязательства (выполнены указанные работы) в общем объёме, не менее 40% от НМЦ. Соответствие указанному требованию подтверждается путём предоставления участником закупки в составе заявки сведений о ранее выполненных договорах по форме «Справка о перечне и годовых объёмах выполнения аналогичных договоров», приведённой в Документации о закупке. При необходимости Заказчик вправе запросить подтверждающие документы (копии договоров и актов выполненных работ, подписанных с обеих сторон).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Сведения, не позволяющие явно/однозначно определить наличие требуемого опыта у Участника, не оцениваются.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left="900" w:hanging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8.Требования к документации по ценообразованию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«При определении стоимости работ (услуг) и оформлению сметной документации применять в обязательном порядке «Требования к оформлению и составлению сметной документации …»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9.Иные требования и условия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</w:t>
      </w:r>
      <w:r>
        <w:rPr>
          <w:rFonts w:cs="Times New Roman" w:ascii="Times New Roman" w:hAnsi="Times New Roman"/>
          <w:iCs/>
          <w:sz w:val="24"/>
          <w:szCs w:val="24"/>
        </w:rPr>
        <w:t xml:space="preserve">аботы считаются </w:t>
      </w:r>
      <w:r>
        <w:rPr>
          <w:rFonts w:cs="Times New Roman" w:ascii="Times New Roman" w:hAnsi="Times New Roman"/>
          <w:sz w:val="24"/>
          <w:szCs w:val="24"/>
        </w:rPr>
        <w:t xml:space="preserve">выполненными - после составления отчета согласно перечня, и передачи Заказчику оригинала с визами ответственных лиц выполнявших данную работу.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Технический отчет о проведенной работе представлять на бумажном (3 экземпляра.) и на   электронном носителях в форматах </w:t>
      </w:r>
      <w:r>
        <w:rPr>
          <w:rFonts w:eastAsia="Times New Roman" w:cs="Times New Roman" w:ascii="Times New Roman" w:hAnsi="Times New Roman"/>
          <w:color w:val="000000"/>
          <w:spacing w:val="-12"/>
          <w:sz w:val="24"/>
          <w:szCs w:val="24"/>
          <w:lang w:eastAsia="ru-RU"/>
        </w:rPr>
        <w:t>*.</w:t>
      </w:r>
      <w:r>
        <w:rPr>
          <w:rFonts w:eastAsia="Times New Roman" w:cs="Times New Roman" w:ascii="Times New Roman" w:hAnsi="Times New Roman"/>
          <w:color w:val="000000"/>
          <w:spacing w:val="-12"/>
          <w:sz w:val="24"/>
          <w:szCs w:val="24"/>
          <w:lang w:val="en-US" w:eastAsia="ru-RU"/>
        </w:rPr>
        <w:t>dwq</w:t>
      </w:r>
      <w:r>
        <w:rPr>
          <w:rFonts w:eastAsia="Times New Roman" w:cs="Times New Roman" w:ascii="Times New Roman" w:hAnsi="Times New Roman"/>
          <w:color w:val="000000"/>
          <w:spacing w:val="-12"/>
          <w:sz w:val="24"/>
          <w:szCs w:val="24"/>
          <w:lang w:eastAsia="ru-RU"/>
        </w:rPr>
        <w:t xml:space="preserve"> , *. </w:t>
      </w:r>
      <w:r>
        <w:rPr>
          <w:rFonts w:eastAsia="Times New Roman" w:cs="Times New Roman" w:ascii="Times New Roman" w:hAnsi="Times New Roman"/>
          <w:color w:val="000000"/>
          <w:spacing w:val="-12"/>
          <w:sz w:val="24"/>
          <w:szCs w:val="24"/>
          <w:lang w:val="en-US" w:eastAsia="ru-RU"/>
        </w:rPr>
        <w:t>vsd</w:t>
      </w:r>
      <w:r>
        <w:rPr>
          <w:rFonts w:eastAsia="Times New Roman" w:cs="Times New Roman" w:ascii="Times New Roman" w:hAnsi="Times New Roman"/>
          <w:color w:val="000000"/>
          <w:spacing w:val="-12"/>
          <w:sz w:val="24"/>
          <w:szCs w:val="24"/>
          <w:lang w:eastAsia="ru-RU"/>
        </w:rPr>
        <w:t xml:space="preserve"> ,</w:t>
      </w:r>
      <w:r>
        <w:rPr>
          <w:rFonts w:eastAsia="Times New Roman" w:cs="Times New Roman" w:ascii="Times New Roman" w:hAnsi="Times New Roman"/>
          <w:b/>
          <w:color w:val="000000"/>
          <w:spacing w:val="-12"/>
          <w:sz w:val="24"/>
          <w:szCs w:val="24"/>
          <w:lang w:eastAsia="ru-RU"/>
        </w:rPr>
        <w:t xml:space="preserve">  *</w:t>
      </w:r>
      <w:r>
        <w:rPr>
          <w:rFonts w:eastAsia="Times New Roman" w:cs="Times New Roman" w:ascii="Times New Roman" w:hAnsi="Times New Roman"/>
          <w:color w:val="000000"/>
          <w:spacing w:val="-12"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/>
          <w:spacing w:val="-12"/>
          <w:sz w:val="24"/>
          <w:szCs w:val="24"/>
          <w:lang w:val="en-US" w:eastAsia="ru-RU"/>
        </w:rPr>
        <w:t>doc</w:t>
      </w:r>
      <w:r>
        <w:rPr>
          <w:rFonts w:eastAsia="Times New Roman" w:cs="Times New Roman" w:ascii="Times New Roman" w:hAnsi="Times New Roman"/>
          <w:color w:val="000000"/>
          <w:spacing w:val="-12"/>
          <w:sz w:val="24"/>
          <w:szCs w:val="24"/>
          <w:lang w:eastAsia="ru-RU"/>
        </w:rPr>
        <w:t>,   *.</w:t>
      </w:r>
      <w:r>
        <w:rPr>
          <w:rFonts w:eastAsia="Times New Roman" w:cs="Times New Roman" w:ascii="Times New Roman" w:hAnsi="Times New Roman"/>
          <w:color w:val="000000"/>
          <w:spacing w:val="-12"/>
          <w:sz w:val="24"/>
          <w:szCs w:val="24"/>
          <w:lang w:val="en-US" w:eastAsia="ru-RU"/>
        </w:rPr>
        <w:t>xls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Лист согласования к ТТ лота №  -НИР-202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6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-ДФ: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ru-RU"/>
        </w:rPr>
        <w:t>СОГЛАСОВАНО: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Согласовано:                                                              Согласовано: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Начальник ПТС                                                            Начальник СПСР                                                               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___________ А.З. Ахмедов                                    ___________ Д.М. Саидов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«____»___________  2025 г.                                 </w:t>
        <w:tab/>
        <w:t>«____» ________ 2025г.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ab/>
        <w:tab/>
        <w:tab/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Согласовано:</w:t>
        <w:tab/>
        <w:t xml:space="preserve">                                                               Согласовано: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Начальник ОЗ                                                               Начальник СОТ и ПК                                                               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  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___________ М.М. Мусалаев                                    ___________ С.В. Шевченко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«____»___________  2025 г.                                   «____» ________ 2025г.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Согласовано:                                                              Согласовано: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Технический руководитель                                      Начальник станции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ОП «ИГЭС»                                                                Гергебильской ГЭС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u w:val="single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____________ </w:t>
      </w:r>
      <w:r>
        <w:rPr>
          <w:rFonts w:eastAsia="Calibri" w:cs="Times New Roman" w:ascii="Times New Roman" w:hAnsi="Times New Roman"/>
          <w:sz w:val="24"/>
          <w:szCs w:val="24"/>
          <w:u w:val="single"/>
          <w:lang w:eastAsia="ru-RU"/>
        </w:rPr>
        <w:t>И.Ш. Гаджиев</w:t>
      </w:r>
      <w:r>
        <w:rPr>
          <w:rFonts w:eastAsia="Calibri" w:cs="Times New Roman" w:ascii="Times New Roman" w:hAnsi="Times New Roman"/>
          <w:sz w:val="24"/>
          <w:szCs w:val="24"/>
          <w:u w:val="none"/>
          <w:lang w:eastAsia="ru-RU"/>
        </w:rPr>
        <w:t xml:space="preserve">                                    </w:t>
      </w:r>
      <w:r>
        <w:rPr>
          <w:rFonts w:eastAsia="Calibri" w:cs="Times New Roman" w:ascii="Times New Roman" w:hAnsi="Times New Roman"/>
          <w:sz w:val="24"/>
          <w:szCs w:val="24"/>
          <w:u w:val="single"/>
          <w:lang w:eastAsia="ru-RU"/>
        </w:rPr>
        <w:t xml:space="preserve">          ____ М.К. Мазгаров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/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>«____»___________ 2025 г                                       .«____»___________ 2025 г.</w:t>
      </w:r>
    </w:p>
    <w:tbl>
      <w:tblPr>
        <w:tblStyle w:val="1"/>
        <w:tblW w:w="97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60"/>
        <w:gridCol w:w="5386"/>
      </w:tblGrid>
      <w:tr>
        <w:trPr/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 w:hanging="0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left="57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Приложение № 1 к ТТ лота </w:t>
      </w:r>
    </w:p>
    <w:p>
      <w:pPr>
        <w:pStyle w:val="Normal"/>
        <w:suppressAutoHyphens w:val="true"/>
        <w:spacing w:lineRule="auto" w:line="240" w:before="0" w:after="0"/>
        <w:ind w:left="5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Требования к оформлению смет</w:t>
      </w:r>
    </w:p>
    <w:p>
      <w:pPr>
        <w:pStyle w:val="Normal"/>
        <w:suppressAutoHyphens w:val="true"/>
        <w:spacing w:lineRule="auto" w:line="240" w:before="0" w:after="0"/>
        <w:ind w:left="5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60" w:leader="none"/>
        </w:tabs>
        <w:suppressAutoHyphens w:val="true"/>
        <w:spacing w:lineRule="auto" w:line="240" w:before="0" w:after="0"/>
        <w:ind w:left="1260" w:hanging="108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Требования к оформлению и составлению</w:t>
      </w:r>
    </w:p>
    <w:p>
      <w:pPr>
        <w:pStyle w:val="Normal"/>
        <w:tabs>
          <w:tab w:val="clear" w:pos="708"/>
          <w:tab w:val="left" w:pos="1260" w:leader="none"/>
        </w:tabs>
        <w:suppressAutoHyphens w:val="true"/>
        <w:spacing w:lineRule="auto" w:line="240" w:before="0" w:after="0"/>
        <w:ind w:left="1260" w:hanging="108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смет или расчетов на выполнение услуг</w:t>
      </w:r>
    </w:p>
    <w:p>
      <w:pPr>
        <w:pStyle w:val="Normal"/>
        <w:tabs>
          <w:tab w:val="clear" w:pos="708"/>
          <w:tab w:val="left" w:pos="1260" w:leader="none"/>
        </w:tabs>
        <w:suppressAutoHyphens w:val="true"/>
        <w:spacing w:lineRule="auto" w:line="240" w:before="0" w:after="0"/>
        <w:ind w:left="1260" w:hanging="108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 программе научно-исследовательских,</w:t>
      </w:r>
    </w:p>
    <w:p>
      <w:pPr>
        <w:pStyle w:val="Normal"/>
        <w:tabs>
          <w:tab w:val="clear" w:pos="708"/>
          <w:tab w:val="left" w:pos="1260" w:leader="none"/>
        </w:tabs>
        <w:suppressAutoHyphens w:val="true"/>
        <w:spacing w:lineRule="auto" w:line="240" w:before="0" w:after="0"/>
        <w:ind w:left="1260" w:hanging="108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экспериментальных и опытно-конструкторских работ.</w:t>
      </w:r>
    </w:p>
    <w:p>
      <w:pPr>
        <w:pStyle w:val="Normal"/>
        <w:tabs>
          <w:tab w:val="clear" w:pos="708"/>
          <w:tab w:val="left" w:pos="1260" w:leader="none"/>
        </w:tabs>
        <w:suppressAutoHyphens w:val="true"/>
        <w:spacing w:lineRule="auto" w:line="240" w:before="0" w:after="0"/>
        <w:ind w:left="1260" w:hanging="108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  <w:bookmarkStart w:id="2" w:name="_GoBack"/>
      <w:bookmarkStart w:id="3" w:name="_GoBack"/>
      <w:bookmarkEnd w:id="3"/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Настоящие требования разработаны для единого подхода к определению стоимости научно-исследовательских, экспериментальных и опытно-конструкторских работ (далее по тексту–НИР/НИОКР).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Сметы или расчеты на НИР/НИОКР составлять на основании технических требований (технического задания) заказчика, графиков производства работ.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Стоимость НИР/НИОКР (обследований, обмерных работ и т.д.), определяется на основе Справочников базовых цен и других нормативных сборников, внесенных в Федеральный реестр сметных нормативов.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 использовании в сметах коэффициентов (доплат, процентов и т.д.) в графе «Номер частей, глав, таблиц, процентов…» указывать обоснование из методических указаний, общих положений сборников или других нормативных документов и приложений к ним.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Пересчет сметной стоимости НИР/НИОКР по состоянию на 01.01.2001г, 01.01.1995г. (1991г.) следует производить согласно индексам на указанные работы, рекомендованным к применению письмом соответствующего органа исполнительной власти, уполномоченного в области сметного нормирования и ценообразования в сфере градостроительной деятельности.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 определении стоимости НИР/НИОКР, затраты организации, расположенной в районах, в которых, в соответствии с действующим законодательством производятся выплаты, обусловленные районным регулированием оплаты труда, в т.ч. выплаты по районным коэффициентам, а также надбавки за непрерывный стаж и других льгот, предусмотренных законодательством в районах Крайнего Севера и приравненных к ним местностям, на основании: «Рекомендаций по определению коэффициента к базовым ценам на проектные работы, учитывающего дополнительные затраты организаций на льготные выплаты по заработной плате», одобренных и рекомендованных к применению письмом Госстроя России от 30.06.98 N 9-10-17/40 дополнительно учитываются путем введения к итогу базовой цены повышающих коэффициентов. Указывать размер примененных коэффициентов, доплат и т.д. с обоснованиями из технической части, вводных указаний сборников или других нормативных документов.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Стоимость НИР/НИОКР, цены на которые отсутствуют в СБЦ, СЦ и других нормативных сборниках, внесенных в Федеральный реестр сметных нормативов, определять сметным расчетом по себестоимости и уровню рентабельности (форма 3п) по согласованию с Заказчиком.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Средства на выполнение НИР/НИОКР определяются отдельными расчетами в соответствии с видом выполняемых работ и включаются (по необходимости) в сводную смету (Приложение №3).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Результаты вычислений и итоговые данные в графе «Стоимость работ» округлять до целых рублей. Величину НДС указывать с копейками, включая строки «Всего по смете, с НДС».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Сметы предоставляются в 2-х вариантах: бумажном и электронном (в формате «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xml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», ПК «Гранд-Смета», «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Excel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»).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284" w:leader="none"/>
          <w:tab w:val="left" w:pos="709" w:leader="none"/>
        </w:tabs>
        <w:suppressAutoHyphens w:val="true"/>
        <w:spacing w:lineRule="auto" w:line="240" w:before="0" w:after="0"/>
        <w:ind w:left="0"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 необходимости учета командировочных расходов в сметной документации составляется предварительный расчет. Размер суточных командировочных расходов определить в соответствии с Федеральным законом от 24 июля 2007 г. N 216-ФЗ и с учетом норм, определяемых внутренним документом организации. 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567" w:leader="none"/>
          <w:tab w:val="left" w:pos="709" w:leader="none"/>
          <w:tab w:val="left" w:pos="993" w:leader="none"/>
        </w:tabs>
        <w:suppressAutoHyphens w:val="true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Лимиты командировочных расходов при производстве НИР/НИОКР по статьям затрат следующие: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567" w:leader="none"/>
          <w:tab w:val="left" w:pos="709" w:leader="none"/>
          <w:tab w:val="left" w:pos="993" w:leader="none"/>
        </w:tabs>
        <w:suppressAutoHyphens w:val="true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суточные-700 руб./сутки;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567" w:leader="none"/>
          <w:tab w:val="left" w:pos="709" w:leader="none"/>
          <w:tab w:val="left" w:pos="993" w:leader="none"/>
        </w:tabs>
        <w:suppressAutoHyphens w:val="true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проживание-3500руб./сутки;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567" w:leader="none"/>
          <w:tab w:val="left" w:pos="709" w:leader="none"/>
          <w:tab w:val="left" w:pos="993" w:leader="none"/>
        </w:tabs>
        <w:suppressAutoHyphens w:val="true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проезд: поезд (купе) или самолет (класс–эконом).</w:t>
      </w:r>
    </w:p>
    <w:p>
      <w:pPr>
        <w:pStyle w:val="Normal"/>
        <w:tabs>
          <w:tab w:val="clear" w:pos="708"/>
          <w:tab w:val="left" w:pos="0" w:leader="none"/>
          <w:tab w:val="left" w:pos="284" w:leader="none"/>
          <w:tab w:val="left" w:pos="567" w:leader="none"/>
          <w:tab w:val="left" w:pos="709" w:leader="none"/>
          <w:tab w:val="left" w:pos="993" w:leader="none"/>
        </w:tabs>
        <w:suppressAutoHyphens w:val="true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Данные лимиты могут быть пересмотрены в зависимости от региона расположения объекта работ (по согласованию с ДЗ на этапе заключения договора/дополнительного соглашения, сметчиками филиала при подписании договора на филиале). </w:t>
      </w:r>
    </w:p>
    <w:p>
      <w:pPr>
        <w:sectPr>
          <w:type w:val="nextPage"/>
          <w:pgSz w:w="11906" w:h="16838"/>
          <w:pgMar w:left="851" w:right="709" w:gutter="0" w:header="0" w:top="851" w:footer="0" w:bottom="709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tabs>
          <w:tab w:val="clear" w:pos="708"/>
          <w:tab w:val="left" w:pos="284" w:leader="none"/>
          <w:tab w:val="left" w:pos="567" w:leader="none"/>
          <w:tab w:val="left" w:pos="709" w:leader="none"/>
          <w:tab w:val="left" w:pos="993" w:leader="none"/>
        </w:tabs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Затраты на командировочные расходы по итогам работы должны быть подтверждены соответствующими отчетными документами.</w:t>
      </w:r>
    </w:p>
    <w:p>
      <w:pPr>
        <w:pStyle w:val="Normal"/>
        <w:suppressAutoHyphens w:val="true"/>
        <w:spacing w:before="0" w:after="0"/>
        <w:ind w:left="567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№2 к Требованиям к оформлению и составлению смет или расчетов на выполнение услуг по программе НИР/НИОКР</w:t>
      </w:r>
    </w:p>
    <w:p>
      <w:pPr>
        <w:pStyle w:val="Normal"/>
        <w:suppressAutoHyphens w:val="true"/>
        <w:spacing w:before="0" w:after="0"/>
        <w:ind w:left="5670" w:hanging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uppressAutoHyphens w:val="true"/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ПОЯСНИТЕЛЬНАЯ ЗАПИСКА </w:t>
      </w:r>
    </w:p>
    <w:p>
      <w:pPr>
        <w:pStyle w:val="Normal"/>
        <w:suppressAutoHyphens w:val="true"/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 заполнению формы 3п</w:t>
      </w:r>
    </w:p>
    <w:p>
      <w:pPr>
        <w:pStyle w:val="Normal"/>
        <w:suppressAutoHyphens w:val="true"/>
        <w:spacing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при составлении смет на НИР/НИОКР.</w:t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spacing w:before="0" w:after="0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42" w:leader="none"/>
          <w:tab w:val="left" w:pos="567" w:leader="none"/>
        </w:tabs>
        <w:suppressAutoHyphens w:val="true"/>
        <w:spacing w:lineRule="auto" w:line="240" w:before="0" w:after="0"/>
        <w:ind w:left="0" w:firstLine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 составлении сметного расчета по трудозатратам (форма 3п), разработанным организацией, выполняющей НИР/НИОКР, обоснование расчета трудозатрат представляется заказчику по его просьбе. Сметные расчеты составляются в ценах текущего периода.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0" w:firstLine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Расчетом по трудозатратам (форма 3п) рекомендуется определять стоимость работ, цены на которые отсутствуют в СБЦ, СЦ и других нормативных сборниках, внесенных в Федеральный реестр сметных нормативов.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0" w:firstLine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Форма сметы для определения затрат по себестоимости и уровню рентабельности (форма 3п) приведена в Образце 3П Приложения №2.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  <w:tab w:val="left" w:pos="993" w:leader="none"/>
        </w:tabs>
        <w:suppressAutoHyphens w:val="true"/>
        <w:spacing w:lineRule="auto" w:line="240" w:before="0" w:after="0"/>
        <w:ind w:left="720" w:hanging="43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Особенности заполнения формы 3П.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Раздел 1. Расчет заработной платы: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графе 1 приводится нумерация выполняемых работ;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графе 2 приводится наименование выполняемых работ;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графе 3 указывается количество привлекаемых работников;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графе 4 указывается наименование должности (при необходимости, с указанием конкретных фамилий) работников, участвующих в выполнении каждой из приведенных работ в графе 2;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временным нормам;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графе 7 указывается заработная плата в рублях (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ru-RU"/>
        </w:rPr>
        <w:t>результат перемножения граф 5 и 6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);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</w:tabs>
        <w:suppressAutoHyphens w:val="true"/>
        <w:spacing w:lineRule="auto" w:line="240" w:before="0" w:after="0"/>
        <w:ind w:firstLine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работ, выполненных главным инженером проекта, или на базе имеющихся в организации проработок, определяющих нормативы их трудоемкости.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Раздел 2. Расчет стоимости выполнения работ: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пункте 2.1 указывается процент заработной платы производственного персонала в составе себестоимости (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ru-RU"/>
        </w:rPr>
        <w:t>без учета субподрядных работ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), находящийся в пределах не менее 30% – уточняется по данным организации в соответствии с бизнес-планом. Данные по оплате труда, процент заработной платы в составе себестоимости, уровень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документом организации.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пункте 2.2 производится расчет себестоимости работ на основании выполненного в разделе 1 расчета заработной платы и ее процента в составе себестоимости работ (отношение итога графы 7 раздела 1 к пункту 2.1);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left="993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уровень рентабельности по отношению к себестоимости может составлять до 15%.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 сметной документации необходимо приложить все справочные данные по вышеуказанным экономическим характеристикам предприятия в виде официальной справки (образец в Приложении №1 к пояснительной записке по заполнению формы 3П).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Раздел 3. Предварительный расчет командировочных расходов.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</w:tabs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Командировочные расходы включаются в сметный расчет отдельной строкой (пункт 3 формы 3П) по отдельно выполненному предварительному расчету с расшифровкой затрат на проезд, проживание, суточные расходы. Размер расходов на проезд и стоимость проживания в гостинице определяется на момент составления предварительного расчета. Форма расчета приведена в Образце 3П Приложения 2.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Лимиты командировочных расходов при производстве НИР/НИОКР: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суточные-700 руб./сутки;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проживание-3500руб./сутки;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проезд: поезд (купе) или самолет (класс – эконом).</w:t>
      </w:r>
    </w:p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Данные лимиты могут быть пересмотрены в зависимости от региона расположения объекта работ (по согласованию с ДЗ на этапе заключения договора/дополнительного соглашения, сметчиками филиала при подписании договора на филиале). </w:t>
      </w:r>
    </w:p>
    <w:p>
      <w:pPr>
        <w:sectPr>
          <w:type w:val="nextPage"/>
          <w:pgSz w:w="11906" w:h="16838"/>
          <w:pgMar w:left="1304" w:right="924" w:gutter="0" w:header="0" w:top="709" w:footer="0" w:bottom="720"/>
          <w:pgNumType w:fmt="decimal"/>
          <w:formProt w:val="false"/>
          <w:textDirection w:val="lrTb"/>
          <w:docGrid w:type="default" w:linePitch="360" w:charSpace="4096"/>
        </w:sectPr>
        <w:pStyle w:val="Normal"/>
        <w:tabs>
          <w:tab w:val="clear" w:pos="708"/>
          <w:tab w:val="left" w:pos="567" w:leader="none"/>
          <w:tab w:val="left" w:pos="993" w:leader="none"/>
          <w:tab w:val="left" w:pos="1080" w:leader="none"/>
        </w:tabs>
        <w:suppressAutoHyphens w:val="true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Затраты на командировочные расходы по итогам работы должны быть подтверждены соответствующими отчетными документами.</w:t>
      </w:r>
    </w:p>
    <w:p>
      <w:pPr>
        <w:pStyle w:val="Normal"/>
        <w:suppressAutoHyphens w:val="true"/>
        <w:spacing w:lineRule="auto" w:line="240" w:before="0" w:after="0"/>
        <w:contextualSpacing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к пояснительной записке по заполнению формы 3П</w:t>
      </w:r>
    </w:p>
    <w:p>
      <w:pPr>
        <w:pStyle w:val="Normal"/>
        <w:suppressAutoHyphens w:val="true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uppressAutoHyphens w:val="true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СПРАВКА (Образец)</w:t>
      </w:r>
    </w:p>
    <w:p>
      <w:pPr>
        <w:pStyle w:val="Normal"/>
        <w:suppressAutoHyphens w:val="tru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>
      <w:pPr>
        <w:pStyle w:val="Normal"/>
        <w:suppressAutoHyphens w:val="tru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8793" w:type="dxa"/>
        <w:jc w:val="left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47"/>
        <w:gridCol w:w="3942"/>
        <w:gridCol w:w="3104"/>
      </w:tblGrid>
      <w:tr>
        <w:trPr>
          <w:trHeight w:val="325" w:hRule="atLeast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Заработная плата в день, в руб.</w:t>
            </w:r>
          </w:p>
        </w:tc>
      </w:tr>
      <w:tr>
        <w:trPr>
          <w:trHeight w:val="630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>
        <w:trPr>
          <w:trHeight w:val="581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>
        <w:trPr>
          <w:trHeight w:val="634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>
      <w:pPr>
        <w:pStyle w:val="Normal"/>
        <w:suppressAutoHyphens w:val="tru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</w:r>
    </w:p>
    <w:p>
      <w:pPr>
        <w:pStyle w:val="Normal"/>
        <w:suppressAutoHyphens w:val="tru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Доля заработной платы в себестоимости работ, выполняемых с/с………  (%)</w:t>
        <w:tab/>
        <w:tab/>
        <w:tab/>
        <w:tab/>
        <w:tab/>
      </w:r>
    </w:p>
    <w:p>
      <w:pPr>
        <w:pStyle w:val="Normal"/>
        <w:suppressAutoHyphens w:val="tru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Рентабельность предприятия……………………….. (%)</w:t>
        <w:tab/>
        <w:tab/>
        <w:tab/>
        <w:tab/>
        <w:tab/>
        <w:tab/>
        <w:tab/>
        <w:tab/>
        <w:tab/>
        <w:t xml:space="preserve"> </w:t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(Должность единоличного исполнительного органа контрагента/подрядчика)</w:t>
        <w:tab/>
        <w:tab/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(Краткое/Полное наименование организации) ________________ (ФИО)</w:t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м.п</w:t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(Главный бухгалтер)</w:t>
      </w:r>
      <w:r>
        <w:rPr>
          <w:rStyle w:val="FootnoteReference"/>
          <w:rFonts w:eastAsia="Times New Roman" w:cs="Times New Roman" w:ascii="Times New Roman" w:hAnsi="Times New Roman"/>
          <w:sz w:val="24"/>
          <w:szCs w:val="24"/>
          <w:vertAlign w:val="superscript"/>
          <w:lang w:eastAsia="ru-RU"/>
        </w:rPr>
        <w:footnoteReference w:id="2"/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ab/>
      </w:r>
    </w:p>
    <w:p>
      <w:pPr>
        <w:pStyle w:val="Normal"/>
        <w:suppressAutoHyphens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(Краткое/Полное наименование организации контрагента/подрядчика) _________ (ФИО)</w:t>
      </w:r>
    </w:p>
    <w:p>
      <w:pPr>
        <w:sectPr>
          <w:footnotePr>
            <w:numFmt w:val="decimal"/>
            <w:numRestart w:val="eachPage"/>
          </w:footnotePr>
          <w:type w:val="nextPage"/>
          <w:pgSz w:w="11906" w:h="16838"/>
          <w:pgMar w:left="1304" w:right="924" w:gutter="0" w:header="0" w:top="851" w:footer="0" w:bottom="720"/>
          <w:pgNumType w:fmt="decimal"/>
          <w:formProt w:val="false"/>
          <w:textDirection w:val="lrTb"/>
          <w:docGrid w:type="default" w:linePitch="360" w:charSpace="4096"/>
        </w:sectPr>
        <w:pStyle w:val="Normal"/>
        <w:suppressAutoHyphens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м.п</w:t>
      </w:r>
    </w:p>
    <w:p>
      <w:pPr>
        <w:pStyle w:val="Normal"/>
        <w:suppressAutoHyphens w:val="true"/>
        <w:spacing w:before="0" w:after="0"/>
        <w:ind w:left="5670" w:hanging="0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№ 3</w:t>
      </w:r>
    </w:p>
    <w:p>
      <w:pPr>
        <w:pStyle w:val="Normal"/>
        <w:tabs>
          <w:tab w:val="clear" w:pos="708"/>
          <w:tab w:val="left" w:pos="1080" w:leader="none"/>
        </w:tabs>
        <w:suppressAutoHyphens w:val="true"/>
        <w:spacing w:before="0" w:after="0"/>
        <w:ind w:left="567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 Требованиям к оформлению и составлению смет или расчетов на выполнение услуг по программе НИР/НИОКР</w:t>
      </w:r>
    </w:p>
    <w:p>
      <w:pPr>
        <w:pStyle w:val="Normal"/>
        <w:tabs>
          <w:tab w:val="clear" w:pos="708"/>
          <w:tab w:val="left" w:pos="1080" w:leader="none"/>
        </w:tabs>
        <w:suppressAutoHyphens w:val="true"/>
        <w:spacing w:before="0" w:after="0"/>
        <w:ind w:left="567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uppressAutoHyphens w:val="true"/>
        <w:ind w:firstLine="284"/>
        <w:jc w:val="center"/>
        <w:rPr>
          <w:rFonts w:ascii="Times New Roman" w:hAnsi="Times New Roman" w:eastAsia="Times New Roman" w:cs="Times New Roman"/>
          <w:b/>
          <w:bCs/>
          <w:iCs/>
          <w:spacing w:val="-4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pacing w:val="-4"/>
          <w:sz w:val="24"/>
          <w:szCs w:val="24"/>
          <w:lang w:eastAsia="ru-RU"/>
        </w:rPr>
        <w:t>Образцы оформления сметной документации на НИР/НИОКР</w:t>
      </w:r>
    </w:p>
    <w:p>
      <w:pPr>
        <w:pStyle w:val="Normal"/>
        <w:shd w:val="clear" w:color="auto" w:fill="FFFFFF"/>
        <w:suppressAutoHyphens w:val="true"/>
        <w:spacing w:before="360" w:after="24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Образец 2П</w:t>
      </w:r>
    </w:p>
    <w:tbl>
      <w:tblPr>
        <w:tblW w:w="92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290"/>
      </w:tblGrid>
      <w:tr>
        <w:trPr>
          <w:trHeight w:val="11057" w:hRule="atLeast"/>
        </w:trPr>
        <w:tc>
          <w:tcPr>
            <w:tcW w:w="9290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ind w:left="5530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Приложение №…… к договору № от 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ind w:left="3829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tbl>
            <w:tblPr>
              <w:tblW w:w="907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286"/>
              <w:gridCol w:w="4787"/>
            </w:tblGrid>
            <w:tr>
              <w:trPr>
                <w:trHeight w:val="417" w:hRule="atLeast"/>
              </w:trPr>
              <w:tc>
                <w:tcPr>
                  <w:tcW w:w="4286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СОГЛАСОВАНО: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_________________(Подрядчик)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_________________И.О.Ф.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4787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1460" w:hanging="0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УТВЕРЖДАЮ: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1460" w:hanging="0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  <w:lang w:eastAsia="ru-RU"/>
                    </w:rPr>
                    <w:t>_________________(Заказчик)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1460" w:hanging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_________________И.О.Ф.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48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СМЕТА № </w:t>
              <w:br/>
              <w:t>на научно-исследовательские работы (НИОКР)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Наименование предприятия, здания, сооружения, стадии проектирования, этапа, вида 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НИОКР___________________________________________________________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подрядной организации_________________________________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организации заказчика__________________________________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руб.</w:t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4a0" w:noHBand="0" w:noVBand="1" w:firstColumn="1" w:lastRow="0" w:lastColumn="0" w:firstRow="1"/>
            </w:tblPr>
            <w:tblGrid>
              <w:gridCol w:w="341"/>
              <w:gridCol w:w="2222"/>
              <w:gridCol w:w="3217"/>
              <w:gridCol w:w="2127"/>
              <w:gridCol w:w="1167"/>
            </w:tblGrid>
            <w:tr>
              <w:trPr>
                <w:tblHeader w:val="true"/>
              </w:trPr>
              <w:tc>
                <w:tcPr>
                  <w:tcW w:w="34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пп</w:t>
                  </w:r>
                </w:p>
              </w:tc>
              <w:tc>
                <w:tcPr>
                  <w:tcW w:w="2222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Характеристика предприятия, здания, сооружения или виды работ</w:t>
                  </w:r>
                </w:p>
              </w:tc>
              <w:tc>
                <w:tcPr>
                  <w:tcW w:w="3217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Номер частей, глав, таблиц, процентов, параграфов и пунктов указаний к разделу Справочника базовых цен на проектные и изыскательские работы для строительства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Расчет стоимости: (a + bx) </w:t>
                  </w:r>
                  <w:r>
                    <w:rPr>
                      <w:rFonts w:eastAsia="Symbol" w:cs="Symbol" w:ascii="Symbol" w:hAnsi="Symbol"/>
                      <w:sz w:val="24"/>
                      <w:szCs w:val="24"/>
                      <w:lang w:eastAsia="ru-RU"/>
                    </w:rPr>
                    <w:sym w:font="Symbol" w:char="f0b4"/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 K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vertAlign w:val="subscript"/>
                      <w:lang w:eastAsia="ru-RU"/>
                    </w:rPr>
                    <w:t>i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, или (объем строительно-монтажных работ) </w:t>
                  </w:r>
                  <w:r>
                    <w:rPr>
                      <w:rFonts w:eastAsia="Symbol" w:cs="Symbol" w:ascii="Symbol" w:hAnsi="Symbol"/>
                      <w:sz w:val="24"/>
                      <w:szCs w:val="24"/>
                      <w:lang w:eastAsia="ru-RU"/>
                    </w:rPr>
                    <w:sym w:font="Symbol" w:char="f0b4"/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 проц.</w:t>
                  </w:r>
                </w:p>
              </w:tc>
              <w:tc>
                <w:tcPr>
                  <w:tcW w:w="116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341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2222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3217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или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  <w:r>
                    <w:rPr>
                      <w:rFonts w:eastAsia="Symbol" w:cs="Symbol" w:ascii="Symbol" w:hAnsi="Symbol"/>
                      <w:sz w:val="24"/>
                      <w:szCs w:val="24"/>
                      <w:lang w:eastAsia="ru-RU"/>
                    </w:rPr>
                    <w:sym w:font="Symbol" w:char="f0b4"/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 цена</w:t>
                  </w:r>
                </w:p>
              </w:tc>
              <w:tc>
                <w:tcPr>
                  <w:tcW w:w="1167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blHeader w:val="true"/>
              </w:trPr>
              <w:tc>
                <w:tcPr>
                  <w:tcW w:w="3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222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21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>
              <w:trPr/>
              <w:tc>
                <w:tcPr>
                  <w:tcW w:w="341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2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1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>
              <w:trPr/>
              <w:tc>
                <w:tcPr>
                  <w:tcW w:w="341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2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1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Составил:            /должность, организация/                                                         /подпись/  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/расшифровка подписи/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Проверил:            /должность, организация/                                                         /подпись/ 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/расшифровка подписи/</w:t>
            </w:r>
          </w:p>
        </w:tc>
      </w:tr>
      <w:tr>
        <w:trPr/>
        <w:tc>
          <w:tcPr>
            <w:tcW w:w="92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sectPr>
          <w:footnotePr>
            <w:numFmt w:val="decimal"/>
            <w:numRestart w:val="eachPage"/>
          </w:footnotePr>
          <w:type w:val="nextPage"/>
          <w:pgSz w:w="11906" w:h="16838"/>
          <w:pgMar w:left="1701" w:right="851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hd w:val="clear" w:color="auto" w:fill="FFFFFF"/>
        <w:suppressAutoHyphens w:val="true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Образец 3п</w:t>
      </w:r>
    </w:p>
    <w:p>
      <w:pPr>
        <w:pStyle w:val="Normal"/>
        <w:shd w:val="clear" w:color="auto" w:fill="FFFFFF"/>
        <w:suppressAutoHyphens w:val="true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92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290"/>
      </w:tblGrid>
      <w:tr>
        <w:trPr>
          <w:trHeight w:val="13517" w:hRule="atLeast"/>
        </w:trPr>
        <w:tc>
          <w:tcPr>
            <w:tcW w:w="9290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ind w:left="2695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Приложение №_____к договору, дополнительному соглашению</w:t>
            </w:r>
          </w:p>
          <w:tbl>
            <w:tblPr>
              <w:tblW w:w="907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407"/>
              <w:gridCol w:w="4666"/>
            </w:tblGrid>
            <w:tr>
              <w:trPr>
                <w:trHeight w:val="417" w:hRule="atLeast"/>
              </w:trPr>
              <w:tc>
                <w:tcPr>
                  <w:tcW w:w="4407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СОГЛАСОВАНО: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_________________ (Подрядчик)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_________________ И.О.Ф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4666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1602" w:hanging="0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УТВЕРЖДАЮ: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1460" w:hanging="0"/>
                    <w:rPr>
                      <w:rFonts w:ascii="Times New Roman" w:hAnsi="Times New Roman"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sz w:val="24"/>
                      <w:szCs w:val="24"/>
                      <w:lang w:eastAsia="ru-RU"/>
                    </w:rPr>
                    <w:t>________________(Заказчик)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1602" w:hanging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_________________И.О.Ф.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48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СМЕТА № </w:t>
              <w:br/>
              <w:t>на научно-исследовательские работы (НИОКР)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48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предприятия, здания, сооружения, стадии проектирования, этапа, вида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НИОКР___________________________________________________________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организации__________________________________________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организации заказчика_________________________________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24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1. Расчет заработной платы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ab/>
              <w:tab/>
              <w:tab/>
              <w:tab/>
              <w:tab/>
              <w:tab/>
              <w:tab/>
              <w:tab/>
              <w:t>руб.</w:t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4a0" w:noHBand="0" w:noVBand="1" w:firstColumn="1" w:lastRow="0" w:lastColumn="0" w:firstRow="1"/>
            </w:tblPr>
            <w:tblGrid>
              <w:gridCol w:w="430"/>
              <w:gridCol w:w="2222"/>
              <w:gridCol w:w="1216"/>
              <w:gridCol w:w="1154"/>
              <w:gridCol w:w="1259"/>
              <w:gridCol w:w="1109"/>
              <w:gridCol w:w="1683"/>
            </w:tblGrid>
            <w:tr>
              <w:trPr>
                <w:tblHeader w:val="true"/>
              </w:trPr>
              <w:tc>
                <w:tcPr>
                  <w:tcW w:w="43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п.п.</w:t>
                  </w:r>
                </w:p>
              </w:tc>
              <w:tc>
                <w:tcPr>
                  <w:tcW w:w="2222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Перечень выполняемых работ</w:t>
                  </w:r>
                </w:p>
              </w:tc>
              <w:tc>
                <w:tcPr>
                  <w:tcW w:w="2370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Исполнители</w:t>
                  </w:r>
                </w:p>
              </w:tc>
              <w:tc>
                <w:tcPr>
                  <w:tcW w:w="1259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Количество человеко-дней</w:t>
                  </w:r>
                </w:p>
              </w:tc>
              <w:tc>
                <w:tcPr>
                  <w:tcW w:w="110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Средняя оплата труда</w:t>
                  </w:r>
                </w:p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за 1 день</w:t>
                  </w:r>
                </w:p>
              </w:tc>
              <w:tc>
                <w:tcPr>
                  <w:tcW w:w="1683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Оплата труда (всего)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430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2222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259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109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683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</w:tr>
            <w:tr>
              <w:trPr>
                <w:tblHeader w:val="true"/>
              </w:trPr>
              <w:tc>
                <w:tcPr>
                  <w:tcW w:w="4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222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16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54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59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683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>
              <w:trPr/>
              <w:tc>
                <w:tcPr>
                  <w:tcW w:w="430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2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4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9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9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83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>
              <w:trPr/>
              <w:tc>
                <w:tcPr>
                  <w:tcW w:w="430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22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59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09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83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hd w:val="clear" w:color="auto" w:fill="FFFFFF"/>
                    <w:suppressAutoHyphens w:val="true"/>
                    <w:spacing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36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Итого заработной платы, в руб. 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2. Расчет стоимости выполнения работ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2.1 Процент заработной платы в составе себестоимости, %_______________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2.2 Себестоимость работ____________________________________________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2.3 Уровень рентабельности, %______________________________________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Командировочные расходы (по предварительному расчету)_____________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Всего (руб.)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ind w:firstLine="20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(сумма прописью)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ind w:firstLine="207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Составил:            /должность, организация/                                                  /подпись/  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/расшифровка подписи/                  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Проверил:            /должность, организация/                                                 /подпись/ 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/расшифровка подписи/ </w:t>
            </w:r>
          </w:p>
        </w:tc>
      </w:tr>
    </w:tbl>
    <w:p>
      <w:pPr>
        <w:pStyle w:val="Normal"/>
        <w:suppressAutoHyphens w:val="true"/>
        <w:spacing w:before="0" w:after="0"/>
        <w:ind w:left="5670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before="0" w:after="0"/>
        <w:ind w:left="5670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№ 4</w:t>
      </w:r>
    </w:p>
    <w:p>
      <w:pPr>
        <w:pStyle w:val="Normal"/>
        <w:tabs>
          <w:tab w:val="clear" w:pos="708"/>
          <w:tab w:val="left" w:pos="1080" w:leader="none"/>
        </w:tabs>
        <w:suppressAutoHyphens w:val="true"/>
        <w:spacing w:before="0" w:after="0"/>
        <w:ind w:left="567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 Требованиям к оформлению и составлению смет или расчетов на выполнение услуг по программе НИР/НИОКР</w:t>
      </w:r>
    </w:p>
    <w:p>
      <w:pPr>
        <w:pStyle w:val="Normal"/>
        <w:suppressAutoHyphens w:val="tru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uppressAutoHyphens w:val="true"/>
        <w:spacing w:before="0" w:after="0"/>
        <w:ind w:left="5530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№   к договору №   от _</w:t>
      </w:r>
    </w:p>
    <w:p>
      <w:pPr>
        <w:pStyle w:val="Normal"/>
        <w:shd w:val="clear" w:color="auto" w:fill="FFFFFF"/>
        <w:suppressAutoHyphens w:val="true"/>
        <w:spacing w:before="0" w:after="0"/>
        <w:ind w:left="3829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931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29"/>
        <w:gridCol w:w="4786"/>
      </w:tblGrid>
      <w:tr>
        <w:trPr>
          <w:trHeight w:val="417" w:hRule="atLeast"/>
        </w:trPr>
        <w:tc>
          <w:tcPr>
            <w:tcW w:w="4529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СОГЛАСОВАНО: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_________________(Подрядчик)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_________________И.О.Ф.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78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60" w:hanging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УТВЕРЖДАЮ: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460" w:hanging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_________________(Заказчик)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460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_________________И.О.Ф.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hd w:val="clear" w:color="auto" w:fill="FFFFFF"/>
        <w:suppressAutoHyphens w:val="true"/>
        <w:spacing w:before="48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СВОДНАЯ СМЕТА № </w:t>
        <w:br/>
        <w:t>на научно-исследовательские работы (НИОКР)</w:t>
      </w:r>
    </w:p>
    <w:p>
      <w:pPr>
        <w:pStyle w:val="Normal"/>
        <w:shd w:val="clear" w:color="auto" w:fill="FFFFFF"/>
        <w:suppressAutoHyphens w:val="true"/>
        <w:spacing w:before="48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uppressAutoHyphens w:val="true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Наименование предприятия, здания, сооружения, стадии проектирования, этапа, вида </w:t>
      </w:r>
    </w:p>
    <w:p>
      <w:pPr>
        <w:pStyle w:val="Normal"/>
        <w:shd w:val="clear" w:color="auto" w:fill="FFFFFF"/>
        <w:suppressAutoHyphens w:val="true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НИОКР___________________________________________________________</w:t>
      </w:r>
    </w:p>
    <w:p>
      <w:pPr>
        <w:pStyle w:val="Normal"/>
        <w:shd w:val="clear" w:color="auto" w:fill="FFFFFF"/>
        <w:suppressAutoHyphens w:val="true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>
      <w:pPr>
        <w:pStyle w:val="Normal"/>
        <w:shd w:val="clear" w:color="auto" w:fill="FFFFFF"/>
        <w:suppressAutoHyphens w:val="true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Наименование подрядной организации_________________________________</w:t>
      </w:r>
    </w:p>
    <w:p>
      <w:pPr>
        <w:pStyle w:val="Normal"/>
        <w:shd w:val="clear" w:color="auto" w:fill="FFFFFF"/>
        <w:suppressAutoHyphens w:val="true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>
      <w:pPr>
        <w:pStyle w:val="Normal"/>
        <w:shd w:val="clear" w:color="auto" w:fill="FFFFFF"/>
        <w:suppressAutoHyphens w:val="true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Наименование организации заказчика_________________________________</w:t>
      </w:r>
    </w:p>
    <w:p>
      <w:pPr>
        <w:pStyle w:val="Normal"/>
        <w:shd w:val="clear" w:color="auto" w:fill="FFFFFF"/>
        <w:suppressAutoHyphens w:val="true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>
      <w:pPr>
        <w:pStyle w:val="Normal"/>
        <w:suppressAutoHyphens w:val="true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руб.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546"/>
        <w:gridCol w:w="4140"/>
        <w:gridCol w:w="1723"/>
        <w:gridCol w:w="3938"/>
      </w:tblGrid>
      <w:tr>
        <w:trPr>
          <w:tblHeader w:val="true"/>
          <w:trHeight w:val="873" w:hRule="atLeast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п.п.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Перечень (наименование) выполняемых работ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Ссылка на № смет и расчетов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Стоимость работ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blHeader w:val="true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54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hd w:val="clear" w:color="auto" w:fill="FFFFFF"/>
        <w:suppressAutoHyphens w:val="tru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uppressAutoHyphens w:val="tru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Итого по смете ___________________________________________________</w:t>
      </w:r>
    </w:p>
    <w:p>
      <w:pPr>
        <w:pStyle w:val="Normal"/>
        <w:shd w:val="clear" w:color="auto" w:fill="FFFFFF"/>
        <w:suppressAutoHyphens w:val="true"/>
        <w:ind w:firstLine="1845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(сумма прописью)</w:t>
      </w:r>
    </w:p>
    <w:p>
      <w:pPr>
        <w:pStyle w:val="Normal"/>
        <w:shd w:val="clear" w:color="auto" w:fill="FFFFFF"/>
        <w:suppressAutoHyphens w:val="true"/>
        <w:spacing w:before="480" w:after="20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Составил:            /должность, организация/                                    /подпись/   /расшифровка подписи/</w:t>
      </w:r>
    </w:p>
    <w:p>
      <w:pPr>
        <w:pStyle w:val="Normal"/>
        <w:shd w:val="clear" w:color="auto" w:fill="FFFFFF"/>
        <w:suppressAutoHyphens w:val="true"/>
        <w:spacing w:before="480" w:after="20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Проверил:            /должность, организация/                                    /подпись/   /расшифровка подписи/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5</w:t>
      </w:r>
    </w:p>
    <w:p>
      <w:pPr>
        <w:pStyle w:val="Normal"/>
        <w:tabs>
          <w:tab w:val="clear" w:pos="708"/>
          <w:tab w:val="left" w:pos="1080" w:leader="none"/>
        </w:tabs>
        <w:suppressAutoHyphens w:val="true"/>
        <w:spacing w:before="0" w:after="0"/>
        <w:ind w:left="5670" w:hanging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Технических требований</w:t>
      </w:r>
    </w:p>
    <w:p>
      <w:pPr>
        <w:pStyle w:val="Normal"/>
        <w:tabs>
          <w:tab w:val="clear" w:pos="708"/>
          <w:tab w:val="left" w:pos="1080" w:leader="none"/>
        </w:tabs>
        <w:suppressAutoHyphens w:val="true"/>
        <w:spacing w:before="0" w:after="0"/>
        <w:ind w:left="5670" w:hanging="0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Лот №  -НИР-202</w:t>
      </w:r>
      <w:r>
        <w:rPr>
          <w:rFonts w:eastAsia="Calibri" w:cs="Times New Roman" w:ascii="Times New Roman" w:hAnsi="Times New Roman"/>
          <w:sz w:val="24"/>
          <w:szCs w:val="24"/>
        </w:rPr>
        <w:t>6</w:t>
      </w:r>
      <w:r>
        <w:rPr>
          <w:rFonts w:eastAsia="Calibri" w:cs="Times New Roman" w:ascii="Times New Roman" w:hAnsi="Times New Roman"/>
          <w:sz w:val="24"/>
          <w:szCs w:val="24"/>
        </w:rPr>
        <w:t>-ДФ</w:t>
      </w:r>
    </w:p>
    <w:p>
      <w:pPr>
        <w:pStyle w:val="Normal"/>
        <w:tabs>
          <w:tab w:val="clear" w:pos="708"/>
          <w:tab w:val="left" w:pos="1080" w:leader="none"/>
        </w:tabs>
        <w:suppressAutoHyphens w:val="true"/>
        <w:spacing w:before="0" w:after="0"/>
        <w:ind w:left="5670" w:hanging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Условия формирования документов, подтверждающих ценообразование по договорам на НИР</w:t>
      </w:r>
    </w:p>
    <w:tbl>
      <w:tblPr>
        <w:tblStyle w:val="a8"/>
        <w:tblW w:w="1033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18"/>
        <w:gridCol w:w="2902"/>
        <w:gridCol w:w="5819"/>
      </w:tblGrid>
      <w:tr>
        <w:trPr>
          <w:trHeight w:val="675" w:hRule="atLeast"/>
        </w:trPr>
        <w:tc>
          <w:tcPr>
            <w:tcW w:w="16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90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Наименование условия</w:t>
            </w:r>
          </w:p>
        </w:tc>
        <w:tc>
          <w:tcPr>
            <w:tcW w:w="58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Условие Заказчика</w:t>
            </w:r>
          </w:p>
        </w:tc>
      </w:tr>
      <w:tr>
        <w:trPr>
          <w:trHeight w:val="509" w:hRule="atLeast"/>
        </w:trPr>
        <w:tc>
          <w:tcPr>
            <w:tcW w:w="16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290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58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16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>
          <w:trHeight w:val="1515" w:hRule="atLeast"/>
        </w:trPr>
        <w:tc>
          <w:tcPr>
            <w:tcW w:w="16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Метод определения стоимости работ по договору</w:t>
            </w:r>
          </w:p>
        </w:tc>
        <w:tc>
          <w:tcPr>
            <w:tcW w:w="5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Договор с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предельной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ценой. Стоимость работ определяется на основании сметной документации с применением текущих (актуальных) индексов пересчета в текущие цены в соответствии с пунктом 3 настоящей таблицы. В случае превышения предельной цены договора при применении индексов пересчета в текущие цены применяются понижающие коэффициенты для сохранения предельной цены договора.  Индексация цены договора не допускается. </w:t>
            </w:r>
          </w:p>
        </w:tc>
      </w:tr>
      <w:tr>
        <w:trPr>
          <w:trHeight w:val="585" w:hRule="atLeast"/>
        </w:trPr>
        <w:tc>
          <w:tcPr>
            <w:tcW w:w="16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Метод расчета сметной документации </w:t>
            </w:r>
          </w:p>
        </w:tc>
        <w:tc>
          <w:tcPr>
            <w:tcW w:w="5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а) базисно-индексный;</w:t>
              <w:br/>
              <w:t>б) калькуляция по форме 3п;</w:t>
            </w:r>
          </w:p>
        </w:tc>
      </w:tr>
      <w:tr>
        <w:trPr>
          <w:trHeight w:val="390" w:hRule="atLeast"/>
        </w:trPr>
        <w:tc>
          <w:tcPr>
            <w:tcW w:w="16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Применение индексов пересчета в текущие цены</w:t>
            </w:r>
          </w:p>
        </w:tc>
        <w:tc>
          <w:tcPr>
            <w:tcW w:w="5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Индексы к единичным расценкам, выпускаемые РЦЦС.</w:t>
            </w:r>
          </w:p>
        </w:tc>
      </w:tr>
      <w:tr>
        <w:trPr>
          <w:trHeight w:val="1995" w:hRule="atLeast"/>
        </w:trPr>
        <w:tc>
          <w:tcPr>
            <w:tcW w:w="16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Применение индексов-дефляторов для определения прогнозных цен</w:t>
            </w:r>
          </w:p>
        </w:tc>
        <w:tc>
          <w:tcPr>
            <w:tcW w:w="5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 отсутствии индексов на требуемый период времени в расчетах допускается использовать прогнозные среднегодовые индексы-дефляторы по строке ИПЦ  (индекс потребительских цен) по данным Минэкономразвития РФ (далее МЭРТ). Применяются средневзвешенные индексы-дефляторы с учетом периода выполнения работ, предусмотренного графиком производства работ.</w:t>
              <w:br/>
              <w:t>При отсутствии прогнозных данных МЭРТ на планируемый период использовать актуальные Единые сценарные условия ОАО «РусГидро» приложение 1.1., пункт 1.1 (умеренный вариант).  Индексы-дефляторы применяются без разбивки по кварталам.</w:t>
            </w:r>
          </w:p>
        </w:tc>
      </w:tr>
      <w:tr>
        <w:trPr>
          <w:trHeight w:val="1950" w:hRule="atLeast"/>
        </w:trPr>
        <w:tc>
          <w:tcPr>
            <w:tcW w:w="16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Решение спорных вопросов</w:t>
            </w:r>
          </w:p>
        </w:tc>
        <w:tc>
          <w:tcPr>
            <w:tcW w:w="5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 возникновении спорных вопросов по ценообразованию в части составления сметной документации подрядчик готовит проект  письма-обращения в Минрегион РФ с приложением всех необходимых документов, обоснований, и направляет его на согласование Заказчику. Заказчик при необходимости дополняет, согласовывает и подписывает данное письмо-обращение и направляет его в Минрегион РФ. Рекомендации, изложенные в письме-разъяснении Минрегиона РФ являются основанием для разрешения споров. При отсутствии четкого ответа, решение по спорным вопросам принимает Заказчик. Данное решение является окончательным.</w:t>
            </w:r>
          </w:p>
        </w:tc>
      </w:tr>
      <w:tr>
        <w:trPr>
          <w:trHeight w:val="2730" w:hRule="atLeast"/>
        </w:trPr>
        <w:tc>
          <w:tcPr>
            <w:tcW w:w="16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9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Командировочные расходы </w:t>
            </w:r>
          </w:p>
        </w:tc>
        <w:tc>
          <w:tcPr>
            <w:tcW w:w="5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Составляется предварительный расчет стоимости командировочных расходов. Размер суточных командировочных расходов определить в соответствии с Федеральным законом от 24 июля 2007 г. N 216-ФЗ с 1 января 2008 года при оплате работодателем налогоплательщику расходов на командировки внутри страны, подлежащий налогообложению, не включаются суточные, выплачиваемые в соответствии с законодательством РФ, но не более 700 рублей за каждый день нахождения в командировке на территории РФ и с учетом норм определяемых внутренним документом организации. лимиты командировочных расходов при производстве НИР, НИОКР и ПИР:• Суточные  700руб.;• Проживание  3500 руб.;• Проезд поезд купе или самолет (класс – эконом). </w:t>
            </w:r>
          </w:p>
        </w:tc>
      </w:tr>
    </w:tbl>
    <w:p>
      <w:pPr>
        <w:sectPr>
          <w:footnotePr>
            <w:numFmt w:val="decimal"/>
            <w:numRestart w:val="eachPage"/>
          </w:footnotePr>
          <w:type w:val="nextPage"/>
          <w:pgSz w:w="11906" w:h="16838"/>
          <w:pgMar w:left="851" w:right="707" w:gutter="0" w:header="0" w:top="284" w:footer="0" w:bottom="426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08"/>
          <w:tab w:val="left" w:pos="12985" w:leader="none"/>
        </w:tabs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Cs w:val="24"/>
          <w:lang w:eastAsia="ru-RU"/>
        </w:rPr>
      </w:pPr>
      <w:r>
        <w:rPr/>
      </w:r>
    </w:p>
    <w:sectPr>
      <w:footerReference w:type="even" r:id="rId2"/>
      <w:footerReference w:type="default" r:id="rId3"/>
      <w:footerReference w:type="first" r:id="rId4"/>
      <w:footnotePr>
        <w:numFmt w:val="decimal"/>
        <w:numRestart w:val="eachPage"/>
      </w:footnotePr>
      <w:type w:val="nextPage"/>
      <w:pgSz w:w="11906" w:h="16838"/>
      <w:pgMar w:left="1701" w:right="851" w:gutter="0" w:header="0" w:top="709" w:footer="709" w:bottom="1353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19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Если в организации функции главного бухгалтера выполняет генеральный директор – ставится только его виза.</w:t>
      </w:r>
    </w:p>
    <w:p>
      <w:pPr>
        <w:pStyle w:val="FootnoteText"/>
        <w:rPr/>
      </w:pPr>
      <w:r>
        <w:rPr/>
        <w:t>*Возможно предоставление иной формы справки в соответствии с внутренним документооборотом организации.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uiPriority w:val="99"/>
    <w:semiHidden/>
    <w:unhideWhenUsed/>
    <w:qFormat/>
    <w:rsid w:val="001e2ed5"/>
    <w:rPr/>
  </w:style>
  <w:style w:type="character" w:styleId="Style9" w:customStyle="1">
    <w:name w:val="Текст сноски Знак"/>
    <w:basedOn w:val="DefaultParagraphFont"/>
    <w:uiPriority w:val="99"/>
    <w:qFormat/>
    <w:rsid w:val="004223b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Emphasis">
    <w:name w:val="Emphasis"/>
    <w:qFormat/>
    <w:rsid w:val="00e4014e"/>
    <w:rPr>
      <w:i/>
      <w:iCs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807618"/>
    <w:rPr>
      <w:rFonts w:ascii="Tahoma" w:hAnsi="Tahoma" w:cs="Tahoma"/>
      <w:sz w:val="16"/>
      <w:szCs w:val="16"/>
    </w:rPr>
  </w:style>
  <w:style w:type="character" w:styleId="FontStyle29" w:customStyle="1">
    <w:name w:val="Font Style29"/>
    <w:qFormat/>
    <w:rsid w:val="00a56a86"/>
    <w:rPr>
      <w:rFonts w:ascii="Times New Roman" w:hAnsi="Times New Roman" w:cs="Times New Roman"/>
      <w:sz w:val="20"/>
      <w:szCs w:val="20"/>
    </w:rPr>
  </w:style>
  <w:style w:type="character" w:styleId="Style11" w:customStyle="1">
    <w:name w:val="Нижний колонтитул Знак"/>
    <w:basedOn w:val="DefaultParagraphFont"/>
    <w:uiPriority w:val="99"/>
    <w:qFormat/>
    <w:rsid w:val="00fa4387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4" w:customStyle="1">
    <w:name w:val="Основной текст (4)_"/>
    <w:basedOn w:val="DefaultParagraphFont"/>
    <w:link w:val="41"/>
    <w:qFormat/>
    <w:rsid w:val="00d4035d"/>
    <w:rPr>
      <w:rFonts w:ascii="Times New Roman" w:hAnsi="Times New Roman" w:eastAsia="Times New Roman" w:cs="Times New Roman"/>
      <w:spacing w:val="-10"/>
      <w:sz w:val="25"/>
      <w:szCs w:val="25"/>
      <w:shd w:fill="FFFFFF" w:val="clear"/>
    </w:rPr>
  </w:style>
  <w:style w:type="character" w:styleId="Style12" w:customStyle="1">
    <w:name w:val="Основной текст_"/>
    <w:basedOn w:val="DefaultParagraphFont"/>
    <w:link w:val="2"/>
    <w:qFormat/>
    <w:rsid w:val="00683314"/>
    <w:rPr>
      <w:rFonts w:ascii="Times New Roman" w:hAnsi="Times New Roman" w:eastAsia="Times New Roman" w:cs="Times New Roman"/>
      <w:sz w:val="25"/>
      <w:szCs w:val="25"/>
      <w:shd w:fill="FFFFFF" w:val="clear"/>
    </w:rPr>
  </w:style>
  <w:style w:type="character" w:styleId="105pt" w:customStyle="1">
    <w:name w:val="Основной текст + 10;5 pt"/>
    <w:basedOn w:val="Style12"/>
    <w:qFormat/>
    <w:rsid w:val="00683314"/>
    <w:rPr>
      <w:rFonts w:ascii="Times New Roman" w:hAnsi="Times New Roman" w:eastAsia="Times New Roman" w:cs="Times New Roman"/>
      <w:color w:val="000000"/>
      <w:spacing w:val="0"/>
      <w:w w:val="100"/>
      <w:sz w:val="21"/>
      <w:szCs w:val="21"/>
      <w:shd w:fill="FFFFFF" w:val="clear"/>
      <w:lang w:val="ru-RU"/>
    </w:rPr>
  </w:style>
  <w:style w:type="character" w:styleId="Style13">
    <w:name w:val="Символ сноски"/>
    <w:uiPriority w:val="99"/>
    <w:semiHidden/>
    <w:unhideWhenUsed/>
    <w:qFormat/>
    <w:rsid w:val="00900e5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NoSpacing">
    <w:name w:val="No Spacing"/>
    <w:uiPriority w:val="1"/>
    <w:qFormat/>
    <w:rsid w:val="00967e9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7374b2"/>
    <w:pPr>
      <w:spacing w:before="0" w:after="200"/>
      <w:ind w:left="720" w:hanging="0"/>
      <w:contextualSpacing/>
    </w:pPr>
    <w:rPr/>
  </w:style>
  <w:style w:type="paragraph" w:styleId="FootnoteText">
    <w:name w:val="Footnote Text"/>
    <w:basedOn w:val="Normal"/>
    <w:link w:val="Style9"/>
    <w:uiPriority w:val="99"/>
    <w:rsid w:val="004223b9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ConsPlusNormal" w:customStyle="1">
    <w:name w:val="ConsPlusNormal"/>
    <w:qFormat/>
    <w:rsid w:val="00b452a2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8076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7">
    <w:name w:val="Колонтитул"/>
    <w:basedOn w:val="Normal"/>
    <w:qFormat/>
    <w:pPr/>
    <w:rPr/>
  </w:style>
  <w:style w:type="paragraph" w:styleId="Footer">
    <w:name w:val="Footer"/>
    <w:basedOn w:val="Normal"/>
    <w:link w:val="Style11"/>
    <w:uiPriority w:val="99"/>
    <w:rsid w:val="00fa438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41" w:customStyle="1">
    <w:name w:val="Основной текст (4)"/>
    <w:basedOn w:val="Normal"/>
    <w:link w:val="4"/>
    <w:qFormat/>
    <w:rsid w:val="00d4035d"/>
    <w:pPr>
      <w:widowControl w:val="false"/>
      <w:shd w:val="clear" w:color="auto" w:fill="FFFFFF"/>
      <w:spacing w:lineRule="atLeast" w:line="0" w:before="7980" w:after="0"/>
      <w:ind w:hanging="380"/>
    </w:pPr>
    <w:rPr>
      <w:rFonts w:ascii="Times New Roman" w:hAnsi="Times New Roman" w:eastAsia="Times New Roman" w:cs="Times New Roman"/>
      <w:spacing w:val="-10"/>
      <w:sz w:val="25"/>
      <w:szCs w:val="25"/>
    </w:rPr>
  </w:style>
  <w:style w:type="paragraph" w:styleId="2" w:customStyle="1">
    <w:name w:val="Основной текст2"/>
    <w:basedOn w:val="Normal"/>
    <w:link w:val="Style12"/>
    <w:qFormat/>
    <w:rsid w:val="00683314"/>
    <w:pPr>
      <w:widowControl w:val="false"/>
      <w:shd w:val="clear" w:color="auto" w:fill="FFFFFF"/>
      <w:spacing w:lineRule="atLeast" w:line="0" w:before="0" w:after="60"/>
      <w:jc w:val="both"/>
    </w:pPr>
    <w:rPr>
      <w:rFonts w:ascii="Times New Roman" w:hAnsi="Times New Roman" w:eastAsia="Times New Roman" w:cs="Times New Roman"/>
      <w:sz w:val="25"/>
      <w:szCs w:val="25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4223b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8">
    <w:name w:val="Table Grid"/>
    <w:basedOn w:val="a1"/>
    <w:uiPriority w:val="59"/>
    <w:rsid w:val="004223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rsid w:val="007152b6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EE193-B013-4822-A34C-110F59C9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AlterOffice/2025.3.1.0$Linux_X86_64 LibreOffice_project/431cd1b79110582f53535c95ed0a2449aadc8bf9</Application>
  <AppVersion>15.0000</AppVersion>
  <Pages>15</Pages>
  <Words>2760</Words>
  <Characters>21067</Characters>
  <CharactersWithSpaces>25054</CharactersWithSpaces>
  <Paragraphs>377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2019-10-15T13:30:00Z</dcterms:created>
  <dc:creator>Батырмурзаев Абдула Абдулаевич</dc:creator>
  <dc:description/>
  <dc:language>ru-RU</dc:language>
  <cp:lastModifiedBy>abdulaevma@corp.gidroogk.com</cp:lastModifiedBy>
  <cp:lastPrinted>2025-01-29T12:31:14Z</cp:lastPrinted>
  <dcterms:modified xsi:type="dcterms:W3CDTF">2026-06-05T11:14:35Z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