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Первый заместитель директора-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главный инженер филиала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ПАО «РусГидро»- 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«Дагестанский филиал»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________________М.Ш. Магомедов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«_____»______________202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 </w:t>
      </w:r>
    </w:p>
    <w:p>
      <w:pPr>
        <w:pStyle w:val="Normal"/>
        <w:ind w:left="4395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Технические требования на оказание услуг по 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обследованию эстакады строительного водосброса Ирганайской ГЭС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ЛОТ №___ </w:t>
      </w:r>
      <w:r>
        <w:rPr>
          <w:b/>
          <w:bCs/>
          <w:sz w:val="24"/>
          <w:szCs w:val="24"/>
          <w:u w:val="single"/>
        </w:rPr>
        <w:t>-НИР-202 -ДФ</w:t>
      </w:r>
      <w:r>
        <w:rPr>
          <w:sz w:val="24"/>
          <w:szCs w:val="24"/>
        </w:rPr>
        <w:t>____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862" w:hanging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862" w:hanging="72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сведения.</w:t>
      </w:r>
    </w:p>
    <w:p>
      <w:pPr>
        <w:pStyle w:val="Normal"/>
        <w:ind w:left="142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1.1. Наименование закупаемых услуг.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Комплексное обследование эстакады строительного водосброса Ирганайской ГЭС</w:t>
      </w:r>
    </w:p>
    <w:p>
      <w:pPr>
        <w:pStyle w:val="Normal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42" w:hanging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1.2. Цель оказания услуг.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1.2.1. Заключение о возможности дальнейшей безопасной эксплуатации эстакады строительного водосброса Ирганайской ГЭС, обеспечения требований: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51" w:leader="none"/>
        </w:tabs>
        <w:spacing w:lineRule="auto" w:line="24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ФЗ-117 от 21.07.1997 «О безопасности гидротехнических сооружений»;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0" w:firstLine="6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СП 58.13330.2019. «Свод правил. Гидротехнические сооружения. Основные положения. СНиП 33-01-2003», пункт 6.14;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1.2.2. Оценка технического состояния эстакады строительного водосброса Ирганайской ГЭС и её отдельных конструктивных элементов, определение соответствия состояния объекта требованиям проектной и нормативно-технической документации (далее ПД и НТД соответственно), оценка степени пригодности объекта к дальнейшей безопасной эксплуатации, с выдачей заключения о возможности/невозможности дальнейшей эксплуатации данного сооружения, определение перечня ремонтно-восстановительных мероприятий, необходимых для устранения имеющихся дефектов и повреждений и восстановления работоспособности сооружения (при необходимости).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1.3. Существующее положение. </w:t>
      </w:r>
    </w:p>
    <w:p>
      <w:pPr>
        <w:pStyle w:val="Normal"/>
        <w:tabs>
          <w:tab w:val="clear" w:pos="709"/>
          <w:tab w:val="left" w:pos="142" w:leader="none"/>
          <w:tab w:val="left" w:pos="6998" w:leader="none"/>
          <w:tab w:val="left" w:pos="8904" w:leader="none"/>
          <w:tab w:val="left" w:pos="10925" w:leader="dot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</w:rPr>
        <w:t>1.3.1. В 202</w:t>
      </w:r>
      <w:r>
        <w:rPr>
          <w:rFonts w:eastAsia="Calibri"/>
          <w:bCs/>
          <w:sz w:val="24"/>
          <w:szCs w:val="24"/>
          <w:shd w:fill="auto" w:val="clear"/>
        </w:rPr>
        <w:t>5</w:t>
      </w:r>
      <w:r>
        <w:rPr>
          <w:rFonts w:eastAsia="Calibri"/>
          <w:bCs/>
          <w:sz w:val="24"/>
          <w:szCs w:val="24"/>
          <w:shd w:fill="auto" w:val="clear"/>
        </w:rPr>
        <w:t xml:space="preserve">-м году </w:t>
      </w:r>
      <w:r>
        <w:rPr>
          <w:rStyle w:val="Hyperlink"/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А</w:t>
      </w:r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О «ВНИИГ им. Б.Е. Веденеева»</w:t>
      </w:r>
      <w:r>
        <w:rPr>
          <w:rFonts w:eastAsia="Calibri" w:ascii="Times New Roman" w:hAnsi="Times New Roman"/>
          <w:bCs/>
          <w:sz w:val="28"/>
          <w:szCs w:val="28"/>
          <w:u w:val="none"/>
          <w:shd w:fill="auto" w:val="clear"/>
        </w:rPr>
        <w:t xml:space="preserve"> </w:t>
      </w:r>
      <w:r>
        <w:rPr>
          <w:rFonts w:eastAsia="Calibri"/>
          <w:bCs/>
          <w:sz w:val="24"/>
          <w:szCs w:val="24"/>
          <w:shd w:fill="auto" w:val="clear"/>
        </w:rPr>
        <w:t>выполнено обследование глубинного водовыпуска на основании которого необходимо провести обследование эстакады для определения возможности ее дальнейшей эксплуатации.</w:t>
      </w:r>
    </w:p>
    <w:p>
      <w:pPr>
        <w:pStyle w:val="Normal"/>
        <w:tabs>
          <w:tab w:val="clear" w:pos="709"/>
          <w:tab w:val="left" w:pos="142" w:leader="none"/>
          <w:tab w:val="left" w:pos="6998" w:leader="none"/>
          <w:tab w:val="left" w:pos="8904" w:leader="none"/>
          <w:tab w:val="left" w:pos="10925" w:leader="dot"/>
        </w:tabs>
        <w:jc w:val="both"/>
        <w:rPr>
          <w:rFonts w:ascii="Times New Roman" w:hAnsi="Times New Roman" w:eastAsia="Calibri"/>
          <w:bCs/>
          <w:sz w:val="24"/>
          <w:szCs w:val="24"/>
        </w:rPr>
      </w:pPr>
      <w:r>
        <w:rPr/>
      </w:r>
    </w:p>
    <w:p>
      <w:pPr>
        <w:pStyle w:val="Normal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1.4. Иные требования и сведения общего характера.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1.4.1. Заказчик в процессе выполнения работы предоставляет Исполнителю необходимые материалы, чертежи и другую имеющуюся эксплуатационную документацию, оказывает помощь по сбору недостающих материалов, обеспечивает возможность обследования объекта.</w:t>
      </w:r>
    </w:p>
    <w:p>
      <w:pPr>
        <w:pStyle w:val="Normal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</w:t>
      </w:r>
    </w:p>
    <w:p>
      <w:pPr>
        <w:pStyle w:val="Normal"/>
        <w:ind w:firstLine="142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оказания услуг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2.1.1. Требования к перечню и объему услуг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Таблица 2. Перечень и объем оказываемых услуг</w:t>
      </w:r>
    </w:p>
    <w:tbl>
      <w:tblPr>
        <w:tblStyle w:val="af3"/>
        <w:tblW w:w="963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3"/>
        <w:gridCol w:w="6051"/>
        <w:gridCol w:w="1373"/>
        <w:gridCol w:w="1494"/>
      </w:tblGrid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0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услуг / этапа услуг</w:t>
            </w:r>
          </w:p>
        </w:tc>
        <w:tc>
          <w:tcPr>
            <w:tcW w:w="13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Единица измерения</w:t>
            </w:r>
          </w:p>
        </w:tc>
        <w:tc>
          <w:tcPr>
            <w:tcW w:w="1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Количество</w:t>
            </w:r>
          </w:p>
        </w:tc>
      </w:tr>
      <w:tr>
        <w:trPr/>
        <w:tc>
          <w:tcPr>
            <w:tcW w:w="7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891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Визуально-инструментальное обследование эстакады строительного водосброса Ирганайской ГЭС</w:t>
            </w:r>
          </w:p>
        </w:tc>
      </w:tr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605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Работы включают в себя: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5835" w:leader="none"/>
                <w:tab w:val="left" w:pos="6998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 xml:space="preserve">- сбор и анализ технической документации по </w:t>
            </w:r>
            <w:r>
              <w:rPr>
                <w:kern w:val="0"/>
                <w:sz w:val="24"/>
                <w:szCs w:val="24"/>
                <w:lang w:val="ru-RU" w:bidi="ar-SA"/>
              </w:rPr>
              <w:t>Объекту</w:t>
            </w: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, составление и согласование с Заказчиком Программы обследования, подготовку средств измерения и оборудования;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 xml:space="preserve">- проведение визуально-инструментального обследования </w:t>
            </w:r>
            <w:r>
              <w:rPr>
                <w:kern w:val="0"/>
                <w:sz w:val="24"/>
                <w:szCs w:val="24"/>
                <w:lang w:val="ru-RU" w:bidi="ar-SA"/>
              </w:rPr>
              <w:t>эстакады</w:t>
            </w: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визуальное обследование с фиксацией, определением габаритов и характеристик и привязкой в плане сооружения выявленных дефектов,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ультразвуковая толщинометрия характерных профилей металлической надстройки, оценка утонения металла,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дефектоскопия сварных и болтовых соединений,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определение прочности бетона конструкий объекта;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 xml:space="preserve">- анализ результатов обследования, составление технического отчета, содержащего заключение о техническом состоянии </w:t>
            </w:r>
            <w:r>
              <w:rPr>
                <w:kern w:val="0"/>
                <w:sz w:val="24"/>
                <w:szCs w:val="24"/>
                <w:lang w:val="ru-RU" w:bidi="ar-SA"/>
              </w:rPr>
              <w:t>эстакады,</w:t>
            </w: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 xml:space="preserve"> о возможности её дальнейшей эксплуатации, рекомендации по первоочередным ремонтно-восстановительным мероприятиям</w:t>
            </w:r>
          </w:p>
        </w:tc>
        <w:tc>
          <w:tcPr>
            <w:tcW w:w="13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</w:p>
        </w:tc>
      </w:tr>
      <w:tr>
        <w:trPr/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605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426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Программа обследования включает в себя: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426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- перечень используемого оборудования и средств измерения;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426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- описание методики проводимых исследований и измерений, ссылки на действующую НТД;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426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- объём проводимых исследований;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2" w:leader="none"/>
                <w:tab w:val="left" w:pos="6998" w:leader="none"/>
                <w:tab w:val="left" w:pos="8904" w:leader="none"/>
                <w:tab w:val="left" w:pos="10925" w:leader="dot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bidi="ar-SA"/>
              </w:rPr>
              <w:t>- требования по обеспечению безопасности работ.</w:t>
            </w:r>
          </w:p>
        </w:tc>
        <w:tc>
          <w:tcPr>
            <w:tcW w:w="13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шт.</w:t>
            </w:r>
          </w:p>
        </w:tc>
        <w:tc>
          <w:tcPr>
            <w:tcW w:w="1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</w:p>
        </w:tc>
      </w:tr>
    </w:tbl>
    <w:p>
      <w:pPr>
        <w:pStyle w:val="Normal"/>
        <w:tabs>
          <w:tab w:val="clear" w:pos="709"/>
          <w:tab w:val="left" w:pos="142" w:leader="none"/>
          <w:tab w:val="left" w:pos="6998" w:leader="none"/>
          <w:tab w:val="left" w:pos="8904" w:leader="none"/>
          <w:tab w:val="left" w:pos="10925" w:leader="dot"/>
        </w:tabs>
        <w:jc w:val="both"/>
        <w:rPr>
          <w:rFonts w:ascii="Times New Roman" w:hAnsi="Times New Roman"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ListParagraph"/>
        <w:numPr>
          <w:ilvl w:val="2"/>
          <w:numId w:val="2"/>
        </w:numPr>
        <w:shd w:val="clear" w:color="auto" w:fill="FFFFFF" w:themeFill="background1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срокам оказания услуг</w:t>
      </w:r>
    </w:p>
    <w:p>
      <w:pPr>
        <w:pStyle w:val="ListParagraph"/>
        <w:shd w:val="clear" w:color="auto" w:fill="FFFFFF" w:themeFill="background1"/>
        <w:spacing w:lineRule="auto" w:line="240" w:before="0" w:after="0"/>
        <w:ind w:left="1222" w:hanging="122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3. Требования к срокам оказания услуг</w:t>
      </w:r>
    </w:p>
    <w:tbl>
      <w:tblPr>
        <w:tblStyle w:val="af3"/>
        <w:tblW w:w="96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4558"/>
        <w:gridCol w:w="2268"/>
        <w:gridCol w:w="2261"/>
      </w:tblGrid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4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услуг / этапа услуг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началу срока оказания услуг/ этапа услуг</w:t>
            </w:r>
          </w:p>
        </w:tc>
        <w:tc>
          <w:tcPr>
            <w:tcW w:w="2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846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Комплексное обследование эстакады строительного водосброса Ирганайской ГЭС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17.0</w:t>
            </w: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.20</w:t>
            </w:r>
            <w:r>
              <w:rPr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2261" w:type="dxa"/>
            <w:tcBorders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suppressAutoHyphens w:val="true"/>
              <w:spacing w:lineRule="auto" w:line="240" w:before="0" w:after="0"/>
              <w:ind w:left="502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01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.0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.20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30</w:t>
            </w:r>
          </w:p>
        </w:tc>
      </w:tr>
    </w:tbl>
    <w:p>
      <w:pPr>
        <w:pStyle w:val="Normal"/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hd w:val="clear" w:color="auto" w:fill="FFFFFF" w:themeFill="background1"/>
        <w:spacing w:lineRule="auto" w:line="240" w:before="0" w:after="0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качеству услуг</w:t>
      </w:r>
    </w:p>
    <w:p>
      <w:pPr>
        <w:pStyle w:val="Normal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Визуально-инструментальное обследование эстакады строительного водосброса Ирганайской ГЭС</w:t>
      </w:r>
    </w:p>
    <w:p>
      <w:pPr>
        <w:pStyle w:val="Normal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Таблица 4. Требования к качеству услуг</w:t>
      </w:r>
    </w:p>
    <w:tbl>
      <w:tblPr>
        <w:tblStyle w:val="af3"/>
        <w:tblW w:w="96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5"/>
        <w:gridCol w:w="2922"/>
        <w:gridCol w:w="6011"/>
        <w:gridCol w:w="10"/>
      </w:tblGrid>
      <w:tr>
        <w:trPr>
          <w:trHeight w:val="1390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60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89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89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1.1.1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Требование к применяемому оборудованию и ПО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Исполнитель должен иметь в собственности необходимое для проведения обследования оборудование и приборы. Используемые при обследовании средства измерения должны быть метрологически аттестованы и иметь действующие свидетельства о поверке.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89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1.2.1.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 штате специалистов Исполнителя должны быть сотрудники с высшим профессиональным образованием по профилю выполняемых обследований, со стажем работы по специальности не менее 5 лет. У персонала, выполняющего работы в зоне действующих электроустановок, должна быть группа по электробезопасности, соответствующая правилам по охране труда. Сотрудники, участвующие в выполнении работ, должны иметь свидетельства установленного образца об аттестации специалистов в сфере безопасности гидротехнических сооружений объектов энергетики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894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1.3.1.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Проводимое комплексное обследование эстакады строительного водосброса Ирганайской ГЭС не должно влиять на ремонтные или иные работы, выполняемые на объектах Заказчика. Программой обследования по согласованию с Заказчиком может быть предусмотрено регулирование режимов эксплуатации ГТС.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1.3.2.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 проведении обследования должны соблюдаться санитарные нормы и правила внутреннего трудового распорядка Филиала, ПТЭ, правила охраны труда, правила промышленной безопасности, правила противопожарной безопасности, правила по охране труда при работе на высоте.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1.3.3.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Выполнять работы в рамках обследования необходимо по нарядам или распоряжениям, согласно действующим правилам Филиала. Специалисты, привлекаемые к выполнению обследования должны сформировать бригаду численностью не менее 2 (двух) человек. Как минимум один специалист должен иметь право быть руководителем и производителем работ.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1.3.4.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Обследование эстакады строительного водосброса Ирганайской ГЭС выполняется без изменения эксплуатационных режимов Ирганайской ГЭС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1.3.5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Обследование выполняется в надводной части объекта, работы проводятся на доступных участках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1.3.5.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Этапы выполнения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Работы выполняются в три этапа: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Этап 1: Запрос и изучение технической информации. Разработка и согласование с Заказчиком Программы обследования строительной эстакады Ирганайской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Этап 2: проведение визуально-инструментального обследования строительной эстакады ирганайской ГЭС в соответствии с Программой.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Этап 3: камеральная обработка результатов исследований, выпуск и согласование с Заказчиком итогового отчёта.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Работы 2 этапа выполняются в ходе командировки специалистов Исполнителя на объект. Для выполнения работы достаточно одной командировки.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 окончании каждого этапа работ Исполнитель должен представить Заказчику: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Этап 1: согласованную с Заказчиком Программу обследования строительной эстакады Ирганайской ГЭС;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Этап 2: технический Акт о завершении этапа работ;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Этап 3: итоговый отчёт по результатам проведённого обследования строительной эстакады Ирганайской ГЭС.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1.3.6.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Допуск персонала исполнителя для оказания услуг должен осуществляться в соответствии с «Методикой допуска персонала подрядных организаций к выполнению работ на объектах Общества» (Приложение №2, утв. приказом ПАО «РусГидро» №230 от 03.04.2023г.)» с обязательным оформлением необходимых нарядов-допусков.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Подготовку рабочих мест и допуск к оказанию услуг выполняет персонал заказчика.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89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результатам услуг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89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2.1.1.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результатам оказания услуг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Отчет должен содержать методику проводимых исследований, состав используемых средств измерения и оборудования, результаты проведённых исследований, измерений, ведомости дефектов, графические материалы, заключение о техническом состоянии водоводов и рекомендации по дальнейшей безопасной эксплуатации водоводов.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2.1.2.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результатам оказания услуг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Собранная в ходе обследования информация должна быть достаточной для подготовки заключения о техническом состоянии объекта, возможности его дальнейшей безаварийной эксплуатации и разработке рекомендаций по первоочередным ремонтно-восстановительным мероприятияим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2.1.3.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результатам оказания услуг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 окончании оказания услуг Исполнитель должен предоставить на бумажном носителе в двух экземплярах (формат А4) и в электронном виде в форматах *dwg, *pdf, *doc  технические отчеты.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89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</w:tr>
      <w:tr>
        <w:trPr/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3.1.</w:t>
            </w:r>
          </w:p>
        </w:tc>
        <w:tc>
          <w:tcPr>
            <w:tcW w:w="2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Услуги должны осуществляться в соответствии с национальными, отраслевыми и корпоративными (ПАО «РусГидро») нормативно-техническими документами (НТД) и нормативно-правовыми актами (НПА):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– </w:t>
            </w:r>
            <w:hyperlink r:id="rId2">
              <w:r>
                <w:rPr>
                  <w:kern w:val="0"/>
                  <w:sz w:val="24"/>
                  <w:szCs w:val="24"/>
                  <w:lang w:val="ru-RU" w:bidi="ar-SA"/>
                </w:rPr>
                <w:t>Федеральный закон №117-ФЗ от 23.06.1997 «О безопасности гидротехнических сооружений» (с изменениями на 29.12.2022 г.)</w:t>
              </w:r>
            </w:hyperlink>
            <w:r>
              <w:rPr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32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7" w:hanging="0"/>
              <w:jc w:val="both"/>
              <w:rPr/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hyperlink r:id="rId3">
              <w:r>
                <w:rPr>
                  <w:kern w:val="0"/>
                  <w:sz w:val="24"/>
                  <w:szCs w:val="24"/>
                  <w:lang w:val="ru-RU" w:bidi="ar-SA"/>
                </w:rPr>
                <w:t xml:space="preserve">Приказ Минэнерго РФ от 04.10.2022 г. N 1070 «Об утверждении Правил технической эксплуатации электрических станций и сетей Российской Федерации» </w:t>
              </w:r>
            </w:hyperlink>
            <w:r>
              <w:rPr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32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37" w:hanging="0"/>
              <w:jc w:val="both"/>
              <w:rPr/>
            </w:pPr>
            <w:r>
              <w:rPr>
                <w:rFonts w:eastAsia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hyperlink r:id="rId4">
              <w:r>
                <w:rPr>
                  <w:kern w:val="0"/>
                  <w:sz w:val="24"/>
                  <w:szCs w:val="24"/>
                  <w:lang w:val="ru-RU" w:bidi="ar-SA"/>
                </w:rPr>
                <w:t>Федеральный закон № 384-ФЗ от 30.12.2009 г. «Технический регламент о безопасности зданий и сооружений» (с изменениями на 02.07.2013 г.)</w:t>
              </w:r>
            </w:hyperlink>
            <w:r>
              <w:rPr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7" w:hanging="0"/>
              <w:jc w:val="both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– </w:t>
            </w:r>
            <w:hyperlink r:id="rId5">
              <w:r>
                <w:rPr>
                  <w:kern w:val="0"/>
                  <w:sz w:val="24"/>
                  <w:szCs w:val="24"/>
                  <w:lang w:val="ru-RU" w:bidi="ar-SA"/>
                </w:rPr>
                <w:t>СТО РусГидро 02.03.129-2015 «Методические указания по организации обследований гидроэнергетических объектов»</w:t>
              </w:r>
            </w:hyperlink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7" w:hanging="0"/>
              <w:jc w:val="both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– </w:t>
            </w:r>
            <w:hyperlink r:id="rId6">
              <w:r>
                <w:rPr>
                  <w:kern w:val="0"/>
                  <w:sz w:val="24"/>
                  <w:szCs w:val="24"/>
                  <w:lang w:val="ru-RU" w:bidi="ar-SA"/>
                </w:rPr>
                <w:t>СТО 70238424.27.010.011-2008 «Здания и сооружения объектов энергетики. Методика оценки технического состояния»</w:t>
              </w:r>
            </w:hyperlink>
            <w:r>
              <w:rPr>
                <w:kern w:val="0"/>
                <w:sz w:val="24"/>
                <w:szCs w:val="24"/>
                <w:lang w:val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– </w:t>
            </w:r>
            <w:hyperlink r:id="rId7">
              <w:r>
                <w:rPr>
                  <w:kern w:val="0"/>
                  <w:sz w:val="24"/>
                  <w:szCs w:val="24"/>
                  <w:lang w:val="ru-RU" w:bidi="ar-SA"/>
                </w:rPr>
                <w:t>РД-22-01-97 «Требования к проведению оценки безопасности эксплуатации производственных зданий и сооружений поднадзорных промышленных производств и объектов (обследования строительных конструкций специализированными организациями)»</w:t>
              </w:r>
            </w:hyperlink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0"/>
        <w:ind w:left="0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3. </w:t>
      </w:r>
      <w:bookmarkStart w:id="0" w:name="_Toc54647836"/>
      <w:bookmarkStart w:id="1" w:name="_Toc54643138"/>
      <w:bookmarkStart w:id="2" w:name="_Toc54618152"/>
      <w:bookmarkStart w:id="3" w:name="_Toc54279845"/>
      <w:r>
        <w:rPr>
          <w:rFonts w:eastAsia="Calibri"/>
          <w:b/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0"/>
      <w:bookmarkEnd w:id="1"/>
      <w:bookmarkEnd w:id="2"/>
      <w:bookmarkEnd w:id="3"/>
    </w:p>
    <w:p>
      <w:pPr>
        <w:pStyle w:val="Normal"/>
        <w:numPr>
          <w:ilvl w:val="1"/>
          <w:numId w:val="4"/>
        </w:numPr>
        <w:spacing w:before="6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bCs/>
          <w:iCs/>
          <w:sz w:val="24"/>
          <w:szCs w:val="24"/>
        </w:rPr>
        <w:t>В рамках реализации договора необходимо составлять и оформлять сметную документацию в обоснование стоимости работ с учетом требований, указанных в Приложении № 1 к настоящим Техническим требованиям.</w:t>
      </w:r>
    </w:p>
    <w:p>
      <w:pPr>
        <w:pStyle w:val="Normal"/>
        <w:spacing w:before="0" w:after="0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Приложения</w:t>
      </w:r>
    </w:p>
    <w:p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№1. Требования к оформлению и составлению сметной документации по программе научно-исследовательских работ.</w:t>
      </w:r>
    </w:p>
    <w:p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№2. Методика допуска персонала подрядных организаций к выполнению работ на объектах общества.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  <w:tab/>
        <w:tab/>
        <w:tab/>
        <w:tab/>
        <w:tab/>
        <w:tab/>
        <w:t xml:space="preserve">           Согласовано:</w:t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Технический руководитель </w:t>
        <w:tab/>
        <w:tab/>
        <w:tab/>
        <w:tab/>
        <w:t>Начальник ПТС</w:t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 «Ирганайская ГЭС»</w:t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__________И.Ш. Гаджиев</w:t>
        <w:tab/>
        <w:tab/>
        <w:tab/>
        <w:tab/>
        <w:tab/>
        <w:t>___________З.А. Ахмедов</w:t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  <w:tab/>
        <w:tab/>
        <w:tab/>
        <w:tab/>
        <w:t>«____»_____________202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8"/>
      <w:footerReference w:type="even" r:id="rId9"/>
      <w:footerReference w:type="default" r:id="rId10"/>
      <w:type w:val="nextPage"/>
      <w:pgSz w:w="11906" w:h="16838"/>
      <w:pgMar w:left="1418" w:right="851" w:gutter="0" w:header="284" w:top="851" w:footer="284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07037111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1" w:hanging="54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2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73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3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4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9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08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/>
        <w:b w:val="false"/>
        <w:szCs w:val="22"/>
        <w:iCs w:val="false"/>
        <w:bCs w:val="fals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bullet"/>
      <w:lvlText w:val="‒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4"/>
        <w:i w:val="false"/>
        <w:b w:val="false"/>
        <w:rFonts w:ascii="Times New Roman" w:hAnsi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4"/>
        <w:i w:val="false"/>
        <w:b w:val="false"/>
        <w:rFonts w:ascii="Times New Roman" w:hAnsi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>
        <w:sz w:val="24"/>
        <w:i w:val="false"/>
        <w:b w:val="false"/>
        <w:rFonts w:ascii="Times New Roman" w:hAnsi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none"/>
      <w:suff w:val="nothing"/>
      <w:lvlText w:val="%6."/>
      <w:lvlJc w:val="right"/>
      <w:pPr>
        <w:tabs>
          <w:tab w:val="num" w:pos="0"/>
        </w:tabs>
        <w:ind w:left="0" w:firstLine="709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0" w:firstLine="70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0ea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cb52c5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cb52c5"/>
    <w:pPr>
      <w:keepNext w:val="true"/>
      <w:numPr>
        <w:ilvl w:val="2"/>
        <w:numId w:val="5"/>
      </w:numPr>
      <w:spacing w:before="120" w:after="60"/>
      <w:ind w:left="1224" w:hanging="0"/>
      <w:outlineLvl w:val="2"/>
    </w:pPr>
    <w:rPr>
      <w:rFonts w:eastAsia="Calibri"/>
      <w:b/>
    </w:rPr>
  </w:style>
  <w:style w:type="paragraph" w:styleId="Heading4">
    <w:name w:val="Heading 4"/>
    <w:basedOn w:val="Heading3"/>
    <w:next w:val="Normal"/>
    <w:link w:val="4"/>
    <w:qFormat/>
    <w:rsid w:val="00cb52c5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Нижний колонтитул Знак"/>
    <w:basedOn w:val="DefaultParagraphFont"/>
    <w:qFormat/>
    <w:rsid w:val="00a77e7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a77e78"/>
    <w:rPr/>
  </w:style>
  <w:style w:type="character" w:styleId="2" w:customStyle="1">
    <w:name w:val="Стиль2 Знак"/>
    <w:link w:val="21"/>
    <w:qFormat/>
    <w:rsid w:val="00a77e78"/>
    <w:rPr>
      <w:rFonts w:ascii="Times New Roman" w:hAnsi="Times New Roman" w:eastAsia="Times New Roman" w:cs="Times New Roman"/>
      <w:bCs/>
      <w:kern w:val="2"/>
      <w:sz w:val="24"/>
      <w:szCs w:val="32"/>
    </w:rPr>
  </w:style>
  <w:style w:type="character" w:styleId="Style7" w:customStyle="1">
    <w:name w:val="Текст сноски Знак"/>
    <w:basedOn w:val="DefaultParagraphFont"/>
    <w:uiPriority w:val="99"/>
    <w:qFormat/>
    <w:rsid w:val="00a77e78"/>
    <w:rPr>
      <w:rFonts w:ascii="Times New Roman" w:hAnsi="Times New Roman" w:eastAsia="Calibri" w:cs="Times New Roman"/>
      <w:sz w:val="20"/>
      <w:szCs w:val="20"/>
      <w:lang w:val="en-GB" w:eastAsia="ru-RU"/>
    </w:rPr>
  </w:style>
  <w:style w:type="character" w:styleId="Style8">
    <w:name w:val="Символ сноски"/>
    <w:uiPriority w:val="99"/>
    <w:unhideWhenUsed/>
    <w:qFormat/>
    <w:rsid w:val="00a77e7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sid w:val="00a77e78"/>
    <w:rPr>
      <w:color w:val="0000FF"/>
      <w:u w:val="single"/>
    </w:rPr>
  </w:style>
  <w:style w:type="character" w:styleId="Style9" w:customStyle="1">
    <w:name w:val="Абзац списка Знак"/>
    <w:link w:val="ListParagraph"/>
    <w:uiPriority w:val="34"/>
    <w:qFormat/>
    <w:locked/>
    <w:rsid w:val="00a77e78"/>
    <w:rPr>
      <w:rFonts w:ascii="Calibri" w:hAnsi="Calibri" w:eastAsia="Calibri"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9718f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69718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69718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9718f"/>
    <w:rPr>
      <w:rFonts w:ascii="Segoe UI" w:hAnsi="Segoe UI" w:eastAsia="Times New Roman" w:cs="Segoe UI"/>
      <w:sz w:val="18"/>
      <w:szCs w:val="1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3e0e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cb52c5"/>
    <w:rPr>
      <w:rFonts w:ascii="Times New Roman" w:hAnsi="Times New Roman" w:eastAsia="Calibri" w:cs="Times New Roman"/>
      <w:b/>
      <w:sz w:val="28"/>
      <w:szCs w:val="28"/>
    </w:rPr>
  </w:style>
  <w:style w:type="character" w:styleId="3" w:customStyle="1">
    <w:name w:val="Заголовок 3 Знак"/>
    <w:basedOn w:val="DefaultParagraphFont"/>
    <w:qFormat/>
    <w:rsid w:val="00cb52c5"/>
    <w:rPr>
      <w:rFonts w:ascii="Times New Roman" w:hAnsi="Times New Roman" w:eastAsia="Calibri" w:cs="Times New Roman"/>
      <w:b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cb52c5"/>
    <w:rPr>
      <w:rFonts w:ascii="Times New Roman" w:hAnsi="Times New Roman" w:eastAsia="Calibri" w:cs="Times New Roman"/>
      <w:b/>
      <w:bCs/>
      <w:sz w:val="24"/>
      <w:szCs w:val="24"/>
    </w:rPr>
  </w:style>
  <w:style w:type="character" w:styleId="Style14" w:customStyle="1">
    <w:name w:val="комментарий"/>
    <w:qFormat/>
    <w:rsid w:val="00cb52c5"/>
    <w:rPr>
      <w:b/>
      <w:i/>
      <w:shd w:fill="FFFF99" w:val="clear"/>
    </w:rPr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6"/>
    <w:rsid w:val="00a77e7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a77e78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Стиль2"/>
    <w:basedOn w:val="Normal"/>
    <w:link w:val="2"/>
    <w:qFormat/>
    <w:rsid w:val="00a77e78"/>
    <w:pPr>
      <w:spacing w:lineRule="auto" w:line="276" w:before="120" w:after="120"/>
      <w:ind w:left="709" w:hanging="709"/>
      <w:jc w:val="both"/>
      <w:outlineLvl w:val="0"/>
    </w:pPr>
    <w:rPr>
      <w:bCs/>
      <w:kern w:val="2"/>
      <w:szCs w:val="32"/>
      <w:lang w:eastAsia="en-US"/>
    </w:rPr>
  </w:style>
  <w:style w:type="paragraph" w:styleId="ListParagraph">
    <w:name w:val="List Paragraph"/>
    <w:basedOn w:val="Normal"/>
    <w:link w:val="Style9"/>
    <w:uiPriority w:val="34"/>
    <w:qFormat/>
    <w:rsid w:val="00a77e78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Style7"/>
    <w:uiPriority w:val="99"/>
    <w:unhideWhenUsed/>
    <w:rsid w:val="00a77e78"/>
    <w:pPr/>
    <w:rPr>
      <w:rFonts w:eastAsia="Calibri"/>
      <w:sz w:val="20"/>
      <w:szCs w:val="20"/>
      <w:lang w:val="en-GB"/>
    </w:rPr>
  </w:style>
  <w:style w:type="paragraph" w:styleId="11" w:customStyle="1">
    <w:name w:val="Абзац списка1"/>
    <w:basedOn w:val="Normal"/>
    <w:qFormat/>
    <w:rsid w:val="00a77e78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69718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69718f"/>
    <w:pPr/>
    <w:rPr>
      <w:b/>
      <w:bCs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9718f"/>
    <w:pPr/>
    <w:rPr>
      <w:rFonts w:ascii="Segoe UI" w:hAnsi="Segoe UI" w:cs="Segoe UI"/>
      <w:sz w:val="18"/>
      <w:szCs w:val="18"/>
    </w:rPr>
  </w:style>
  <w:style w:type="paragraph" w:styleId="31" w:customStyle="1">
    <w:name w:val="Знак Знак3"/>
    <w:basedOn w:val="Normal"/>
    <w:qFormat/>
    <w:rsid w:val="0055548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3e0eb5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" w:cstheme="minorHAnsi"/>
      <w:b/>
      <w:bCs/>
      <w:iCs/>
    </w:rPr>
  </w:style>
  <w:style w:type="paragraph" w:styleId="TOC3">
    <w:name w:val="TOC 3"/>
    <w:basedOn w:val="Normal"/>
    <w:next w:val="Normal"/>
    <w:autoRedefine/>
    <w:uiPriority w:val="39"/>
    <w:rsid w:val="00030d38"/>
    <w:pPr>
      <w:tabs>
        <w:tab w:val="clear" w:pos="709"/>
        <w:tab w:val="left" w:pos="1400" w:leader="none"/>
        <w:tab w:val="right" w:pos="9911" w:leader="dot"/>
      </w:tabs>
      <w:ind w:left="560" w:firstLine="291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e0eb5"/>
    <w:pPr>
      <w:ind w:left="840" w:hanging="0"/>
    </w:pPr>
    <w:rPr>
      <w:rFonts w:cs="Calibri" w:cstheme="minorHAnsi"/>
      <w:sz w:val="20"/>
      <w:szCs w:val="20"/>
    </w:rPr>
  </w:style>
  <w:style w:type="paragraph" w:styleId="Header">
    <w:name w:val="Header"/>
    <w:basedOn w:val="Normal"/>
    <w:link w:val="Style13"/>
    <w:uiPriority w:val="99"/>
    <w:unhideWhenUsed/>
    <w:rsid w:val="003e0eb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2" w:customStyle="1">
    <w:name w:val="1 уровень"/>
    <w:basedOn w:val="Normal"/>
    <w:autoRedefine/>
    <w:qFormat/>
    <w:rsid w:val="005b2e77"/>
    <w:pPr>
      <w:numPr>
        <w:ilvl w:val="0"/>
        <w:numId w:val="8"/>
      </w:numPr>
      <w:spacing w:lineRule="auto" w:line="360" w:before="120" w:after="0"/>
      <w:jc w:val="both"/>
    </w:pPr>
    <w:rPr>
      <w:rFonts w:eastAsia="Calibri"/>
      <w:b/>
      <w:lang w:eastAsia="en-US"/>
    </w:rPr>
  </w:style>
  <w:style w:type="paragraph" w:styleId="22" w:customStyle="1">
    <w:name w:val="2 уровень"/>
    <w:basedOn w:val="Normal"/>
    <w:autoRedefine/>
    <w:qFormat/>
    <w:rsid w:val="005b2e77"/>
    <w:pPr>
      <w:keepNext w:val="true"/>
      <w:numPr>
        <w:ilvl w:val="1"/>
        <w:numId w:val="8"/>
      </w:numPr>
      <w:spacing w:lineRule="auto" w:line="360"/>
    </w:pPr>
    <w:rPr>
      <w:rFonts w:eastAsia="Calibri"/>
      <w:lang w:eastAsia="en-US"/>
    </w:rPr>
  </w:style>
  <w:style w:type="paragraph" w:styleId="32" w:customStyle="1">
    <w:name w:val="3 уровень"/>
    <w:basedOn w:val="Normal"/>
    <w:autoRedefine/>
    <w:qFormat/>
    <w:rsid w:val="005b2e77"/>
    <w:pPr>
      <w:numPr>
        <w:ilvl w:val="2"/>
        <w:numId w:val="8"/>
      </w:numPr>
      <w:spacing w:lineRule="auto" w:line="360"/>
    </w:pPr>
    <w:rPr>
      <w:rFonts w:eastAsia="Calibri"/>
      <w:szCs w:val="22"/>
      <w:lang w:eastAsia="en-US"/>
    </w:rPr>
  </w:style>
  <w:style w:type="paragraph" w:styleId="41" w:customStyle="1">
    <w:name w:val="4 уровень"/>
    <w:basedOn w:val="Normal"/>
    <w:autoRedefine/>
    <w:qFormat/>
    <w:rsid w:val="005b2e77"/>
    <w:pPr>
      <w:numPr>
        <w:ilvl w:val="3"/>
        <w:numId w:val="8"/>
      </w:numPr>
      <w:spacing w:lineRule="auto" w:line="360"/>
    </w:pPr>
    <w:rPr>
      <w:rFonts w:eastAsia="Calibri"/>
      <w:szCs w:val="22"/>
      <w:lang w:eastAsia="en-US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42" w:customStyle="1">
    <w:name w:val="Список 4 ур"/>
    <w:uiPriority w:val="99"/>
    <w:qFormat/>
    <w:rsid w:val="005b2e7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5865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46062" TargetMode="External"/><Relationship Id="rId3" Type="http://schemas.openxmlformats.org/officeDocument/2006/relationships/hyperlink" Target="https://docs.cntd.ru/document/901865958" TargetMode="External"/><Relationship Id="rId4" Type="http://schemas.openxmlformats.org/officeDocument/2006/relationships/hyperlink" Target="https://docs.cntd.ru/document/902192610" TargetMode="External"/><Relationship Id="rId5" Type="http://schemas.openxmlformats.org/officeDocument/2006/relationships/hyperlink" Target="https://storage.yandexcloud.net/storage.rushydro.ru/iblock/020/020966e6dcf540037de02f269dac450a/STO-RusGidro-02.03.129-2015_.pdf" TargetMode="External"/><Relationship Id="rId6" Type="http://schemas.openxmlformats.org/officeDocument/2006/relationships/hyperlink" Target="https://docs.cntd.ru/document/1200093625" TargetMode="External"/><Relationship Id="rId7" Type="http://schemas.openxmlformats.org/officeDocument/2006/relationships/hyperlink" Target="https://docs.cntd.ru/document/120002628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7153-E0C7-4702-A40B-AFD8AFD2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AlterOffice/2025.3.1.0$Linux_X86_64 LibreOffice_project/431cd1b79110582f53535c95ed0a2449aadc8bf9</Application>
  <AppVersion>15.0000</AppVersion>
  <Pages>6</Pages>
  <Words>1246</Words>
  <Characters>9467</Characters>
  <CharactersWithSpaces>10657</CharactersWithSpaces>
  <Paragraphs>152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2023-08-16T16:15:00Z</dcterms:created>
  <dc:creator>lena</dc:creator>
  <dc:description/>
  <dc:language>ru-RU</dc:language>
  <cp:lastModifiedBy>abdulaevma@corp.gidroogk.com</cp:lastModifiedBy>
  <dcterms:modified xsi:type="dcterms:W3CDTF">2026-06-09T13:38:46Z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