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_rels/document.xml.rels" ContentType="application/vnd.openxmlformats-package.relationships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footer2.xml" ContentType="application/vnd.openxmlformats-officedocument.wordprocessingml.footer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a8"/>
        <w:tblW w:w="5386" w:type="dxa"/>
        <w:jc w:val="left"/>
        <w:tblInd w:w="436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firstRow="1" w:lastRow="0" w:firstColumn="1" w:lastColumn="0"/>
      </w:tblPr>
      <w:tblGrid>
        <w:gridCol w:w="5386"/>
      </w:tblGrid>
      <w:tr>
        <w:trPr/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</w:tr>
    </w:tbl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             </w:t>
      </w:r>
    </w:p>
    <w:tbl>
      <w:tblPr>
        <w:tblStyle w:val="a8"/>
        <w:tblW w:w="6095" w:type="dxa"/>
        <w:jc w:val="righ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6095"/>
      </w:tblGrid>
      <w:tr>
        <w:trPr>
          <w:trHeight w:val="2622" w:hRule="atLeast"/>
        </w:trPr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«УТВЕРЖДАЮ»</w:t>
            </w:r>
          </w:p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Первый заместитель директора-</w:t>
            </w:r>
          </w:p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Главный инженер Филиала</w:t>
            </w:r>
          </w:p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ПАО «РусГидро» -«Дагестанский филиал»</w:t>
            </w:r>
          </w:p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____________Магомедов М.Ш.</w:t>
            </w:r>
          </w:p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«____»_____________2025 г.</w:t>
            </w:r>
          </w:p>
        </w:tc>
      </w:tr>
    </w:tbl>
    <w:p>
      <w:pPr>
        <w:pStyle w:val="Normal"/>
        <w:spacing w:before="0" w:after="0"/>
        <w:ind w:left="5103" w:hanging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</w:r>
    </w:p>
    <w:p>
      <w:pPr>
        <w:pStyle w:val="Normal"/>
        <w:spacing w:before="0" w:after="0"/>
        <w:ind w:left="5103" w:hanging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ind w:left="5103" w:hanging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ind w:left="5103" w:hanging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ind w:left="5103" w:hanging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8018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8018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8018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keepNext w:val="true"/>
        <w:keepLines/>
        <w:numPr>
          <w:ilvl w:val="0"/>
          <w:numId w:val="0"/>
        </w:numPr>
        <w:shd w:val="clear" w:color="auto" w:fill="FFFFFF"/>
        <w:spacing w:lineRule="exact" w:line="250" w:before="0" w:after="0"/>
        <w:ind w:left="0" w:hanging="280"/>
        <w:jc w:val="center"/>
        <w:outlineLvl w:val="0"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eastAsia="Calibri" w:cs="Times New Roman" w:ascii="Times New Roman" w:hAnsi="Times New Roman"/>
          <w:b/>
          <w:sz w:val="28"/>
          <w:szCs w:val="28"/>
        </w:rPr>
        <w:t xml:space="preserve">Технические требования 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на «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Обследование закладных частей пазов, затворов и СУР Гергебильской ГЭС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»</w:t>
      </w:r>
    </w:p>
    <w:p>
      <w:pPr>
        <w:pStyle w:val="Normal"/>
        <w:jc w:val="center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eastAsia="Calibri" w:cs="Times New Roman" w:ascii="Times New Roman" w:hAnsi="Times New Roman"/>
          <w:b/>
          <w:sz w:val="24"/>
          <w:szCs w:val="24"/>
        </w:rPr>
        <w:t>Лот №  -НИР-2025-ДФ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eastAsia="Calibri" w:cs="Times New Roman" w:ascii="Times New Roman" w:hAnsi="Times New Roman"/>
          <w:b/>
          <w:sz w:val="24"/>
          <w:szCs w:val="24"/>
        </w:rPr>
        <w:t xml:space="preserve">                                                           </w:t>
      </w:r>
      <w:r>
        <w:rPr>
          <w:rFonts w:eastAsia="Calibri" w:cs="Times New Roman" w:ascii="Times New Roman" w:hAnsi="Times New Roman"/>
          <w:b/>
          <w:sz w:val="24"/>
          <w:szCs w:val="24"/>
        </w:rPr>
        <w:t>г. Каспийск 2025.</w:t>
      </w:r>
      <w:r>
        <w:br w:type="page"/>
      </w:r>
    </w:p>
    <w:p>
      <w:pPr>
        <w:pStyle w:val="Normal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1.Наименование закупаемой продукции (товаров, работ, услуг)</w:t>
      </w:r>
    </w:p>
    <w:p>
      <w:pPr>
        <w:pStyle w:val="NoSpacing"/>
        <w:rPr>
          <w:sz w:val="24"/>
          <w:szCs w:val="24"/>
        </w:rPr>
      </w:pPr>
      <w:r>
        <w:rPr>
          <w:bCs/>
          <w:sz w:val="24"/>
          <w:szCs w:val="24"/>
        </w:rPr>
        <w:t>Обследование закладных частей пазов, затворов и СУР Гергебильской ГЭС</w:t>
      </w:r>
      <w:r>
        <w:rPr>
          <w:sz w:val="24"/>
          <w:szCs w:val="24"/>
        </w:rPr>
        <w:t>.</w:t>
      </w:r>
    </w:p>
    <w:p>
      <w:pPr>
        <w:pStyle w:val="NoSpacing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2.Заказчик (подразделение  Заказчика)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Филиал ПАО «РусГидро» - «Дагестанский филиал» Республика Дагестан, г. Каспийск,                    ул. Халилова  5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3.Цели и задачи. Существующее положение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u w:val="single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u w:val="single"/>
          <w:lang w:eastAsia="ru-RU"/>
        </w:rPr>
        <w:t>Существующее положение.</w:t>
      </w:r>
    </w:p>
    <w:p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На Гергебильской ГЭС механическое оборудование ГТС эксплуатируются после первой реконструкции с 1956-60гг. у которых превышает нормативный срок службы.  С целью обеспечения к готовности гидроагрегатов к пуску и пропуска паводка в паводковый сезон необходимо провести инструментальное обследование.</w:t>
      </w:r>
    </w:p>
    <w:p>
      <w:pPr>
        <w:pStyle w:val="NoSpacing"/>
        <w:rPr>
          <w:sz w:val="24"/>
          <w:szCs w:val="24"/>
        </w:rPr>
      </w:pPr>
      <w:r>
        <w:rPr>
          <w:sz w:val="24"/>
          <w:szCs w:val="24"/>
          <w:u w:val="single"/>
        </w:rPr>
        <w:t>Цели и задачи</w:t>
      </w:r>
      <w:r>
        <w:rPr>
          <w:sz w:val="24"/>
          <w:szCs w:val="24"/>
        </w:rPr>
        <w:t xml:space="preserve"> - комплексное обследование механического оборудования ГТС куда входит:</w:t>
      </w:r>
    </w:p>
    <w:p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- сбор, анализ и обобщение имеющейся на начало работ информации о состоянии и надежности механического оборудования ГТС;</w:t>
      </w:r>
    </w:p>
    <w:p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- изменения формы крепежных элементов и обнаружения поверхностных дефектов (трещины, коррозийно-усталостных повреждений) образовавшихся в процессе их эксплуатации; </w:t>
      </w:r>
    </w:p>
    <w:p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- проведение комплексного обследования механического оборудования ГТС с целью оценки его технического состояния для дальнейшей эксплуатации;</w:t>
      </w:r>
    </w:p>
    <w:p>
      <w:pPr>
        <w:pStyle w:val="NoSpacing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4.Требования к закупаемой продукции (технические и иные характеристики)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Перечень затворов и пазов Гергебильской ГЭС для инструментального обследования.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Таблица 1</w:t>
      </w:r>
    </w:p>
    <w:tbl>
      <w:tblPr>
        <w:tblStyle w:val="2"/>
        <w:tblW w:w="10380" w:type="dxa"/>
        <w:jc w:val="left"/>
        <w:tblInd w:w="137" w:type="dxa"/>
        <w:tblLayout w:type="fixed"/>
        <w:tblCellMar>
          <w:top w:w="0" w:type="dxa"/>
          <w:left w:w="57" w:type="dxa"/>
          <w:bottom w:w="0" w:type="dxa"/>
          <w:right w:w="57" w:type="dxa"/>
        </w:tblCellMar>
        <w:tblLook w:val="01e0" w:noVBand="0" w:noHBand="0" w:lastColumn="1" w:firstColumn="1" w:lastRow="1" w:firstRow="1"/>
      </w:tblPr>
      <w:tblGrid>
        <w:gridCol w:w="785"/>
        <w:gridCol w:w="6590"/>
        <w:gridCol w:w="1457"/>
        <w:gridCol w:w="1547"/>
      </w:tblGrid>
      <w:tr>
        <w:trPr/>
        <w:tc>
          <w:tcPr>
            <w:tcW w:w="785" w:type="dxa"/>
            <w:tcBorders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пп</w:t>
            </w:r>
          </w:p>
        </w:tc>
        <w:tc>
          <w:tcPr>
            <w:tcW w:w="6590" w:type="dxa"/>
            <w:tcBorders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Наименование</w:t>
            </w:r>
          </w:p>
        </w:tc>
        <w:tc>
          <w:tcPr>
            <w:tcW w:w="1457" w:type="dxa"/>
            <w:tcBorders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Размеры</w:t>
            </w:r>
          </w:p>
        </w:tc>
        <w:tc>
          <w:tcPr>
            <w:tcW w:w="1547" w:type="dxa"/>
            <w:tcBorders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 xml:space="preserve">Примечание </w:t>
            </w:r>
          </w:p>
        </w:tc>
      </w:tr>
      <w:tr>
        <w:trPr/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6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Колесный затвор напорного водовода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2,2м х 2,8м</w:t>
            </w:r>
          </w:p>
        </w:tc>
        <w:tc>
          <w:tcPr>
            <w:tcW w:w="1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 xml:space="preserve">Обследование выполняется в период заполнения  водохранилища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Гунибской ГЭС</w:t>
            </w:r>
          </w:p>
        </w:tc>
      </w:tr>
      <w:tr>
        <w:trPr/>
        <w:tc>
          <w:tcPr>
            <w:tcW w:w="78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659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Сегментный затвор №1 эксплуатационного водосброса</w:t>
            </w:r>
          </w:p>
        </w:tc>
        <w:tc>
          <w:tcPr>
            <w:tcW w:w="145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5,6м х 7,0м</w:t>
            </w:r>
          </w:p>
        </w:tc>
        <w:tc>
          <w:tcPr>
            <w:tcW w:w="154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659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Сегментный затвор №2 эксплуатационного водосброса</w:t>
            </w:r>
          </w:p>
        </w:tc>
        <w:tc>
          <w:tcPr>
            <w:tcW w:w="145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5,6м х 7,0м</w:t>
            </w:r>
          </w:p>
        </w:tc>
        <w:tc>
          <w:tcPr>
            <w:tcW w:w="154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4</w:t>
            </w:r>
          </w:p>
        </w:tc>
        <w:tc>
          <w:tcPr>
            <w:tcW w:w="659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Закладные части сегментного затвора №1</w:t>
            </w:r>
          </w:p>
        </w:tc>
        <w:tc>
          <w:tcPr>
            <w:tcW w:w="145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4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5</w:t>
            </w:r>
          </w:p>
        </w:tc>
        <w:tc>
          <w:tcPr>
            <w:tcW w:w="659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Закладные части сегментного затвора №2</w:t>
            </w:r>
          </w:p>
        </w:tc>
        <w:tc>
          <w:tcPr>
            <w:tcW w:w="145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4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6</w:t>
            </w:r>
          </w:p>
        </w:tc>
        <w:tc>
          <w:tcPr>
            <w:tcW w:w="659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lang w:val="ru-RU" w:eastAsia="ru-RU" w:bidi="ar-SA"/>
              </w:rPr>
              <w:t>Металлоконструкция эстакады водосброса</w:t>
            </w:r>
          </w:p>
        </w:tc>
        <w:tc>
          <w:tcPr>
            <w:tcW w:w="145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4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7</w:t>
            </w:r>
          </w:p>
        </w:tc>
        <w:tc>
          <w:tcPr>
            <w:tcW w:w="659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Скользящий затвор отсасывающей трубы гидротурбины №3</w:t>
            </w:r>
          </w:p>
        </w:tc>
        <w:tc>
          <w:tcPr>
            <w:tcW w:w="145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4,5м х 2,33м</w:t>
            </w:r>
          </w:p>
        </w:tc>
        <w:tc>
          <w:tcPr>
            <w:tcW w:w="154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8</w:t>
            </w:r>
          </w:p>
        </w:tc>
        <w:tc>
          <w:tcPr>
            <w:tcW w:w="659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Скользящий затвор отсасывающей трубы гидротурбины №4</w:t>
            </w:r>
          </w:p>
        </w:tc>
        <w:tc>
          <w:tcPr>
            <w:tcW w:w="145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4,5м х 2,33м</w:t>
            </w:r>
          </w:p>
        </w:tc>
        <w:tc>
          <w:tcPr>
            <w:tcW w:w="154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9</w:t>
            </w:r>
          </w:p>
        </w:tc>
        <w:tc>
          <w:tcPr>
            <w:tcW w:w="659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Скользящий затвор отсасывающей трубы гидротурбины №5</w:t>
            </w:r>
          </w:p>
        </w:tc>
        <w:tc>
          <w:tcPr>
            <w:tcW w:w="145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4,5м х 2,33м</w:t>
            </w:r>
          </w:p>
        </w:tc>
        <w:tc>
          <w:tcPr>
            <w:tcW w:w="154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10</w:t>
            </w:r>
          </w:p>
        </w:tc>
        <w:tc>
          <w:tcPr>
            <w:tcW w:w="659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Пазы затворов отсасывающей трубы гидротурбины №3</w:t>
            </w:r>
          </w:p>
        </w:tc>
        <w:tc>
          <w:tcPr>
            <w:tcW w:w="145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4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11</w:t>
            </w:r>
          </w:p>
        </w:tc>
        <w:tc>
          <w:tcPr>
            <w:tcW w:w="659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Пазы затворов отсасывающей трубы гидротурбины №4</w:t>
            </w:r>
          </w:p>
        </w:tc>
        <w:tc>
          <w:tcPr>
            <w:tcW w:w="145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4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12</w:t>
            </w:r>
          </w:p>
        </w:tc>
        <w:tc>
          <w:tcPr>
            <w:tcW w:w="659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Пазы затворов отсасывающей трубы гидротурбины №5</w:t>
            </w:r>
          </w:p>
        </w:tc>
        <w:tc>
          <w:tcPr>
            <w:tcW w:w="145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4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13</w:t>
            </w:r>
          </w:p>
        </w:tc>
        <w:tc>
          <w:tcPr>
            <w:tcW w:w="659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Колесный затвор  донного водосброса</w:t>
            </w:r>
          </w:p>
        </w:tc>
        <w:tc>
          <w:tcPr>
            <w:tcW w:w="145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1,5м х 2,7м</w:t>
            </w:r>
          </w:p>
        </w:tc>
        <w:tc>
          <w:tcPr>
            <w:tcW w:w="154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Обследование выполняется после опорожнении водохранилища</w:t>
            </w:r>
          </w:p>
        </w:tc>
      </w:tr>
      <w:tr>
        <w:trPr/>
        <w:tc>
          <w:tcPr>
            <w:tcW w:w="78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14</w:t>
            </w:r>
          </w:p>
        </w:tc>
        <w:tc>
          <w:tcPr>
            <w:tcW w:w="659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Скользящий затвор донного водосброса (ремонтный)</w:t>
            </w:r>
          </w:p>
        </w:tc>
        <w:tc>
          <w:tcPr>
            <w:tcW w:w="145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1,5м х 2,7м</w:t>
            </w:r>
          </w:p>
        </w:tc>
        <w:tc>
          <w:tcPr>
            <w:tcW w:w="154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15</w:t>
            </w:r>
          </w:p>
        </w:tc>
        <w:tc>
          <w:tcPr>
            <w:tcW w:w="659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 xml:space="preserve">Сороудерживающая решетка </w:t>
            </w:r>
          </w:p>
        </w:tc>
        <w:tc>
          <w:tcPr>
            <w:tcW w:w="145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4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16</w:t>
            </w:r>
          </w:p>
        </w:tc>
        <w:tc>
          <w:tcPr>
            <w:tcW w:w="659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Дисковый затвор гидротурбины №3</w:t>
            </w:r>
          </w:p>
        </w:tc>
        <w:tc>
          <w:tcPr>
            <w:tcW w:w="145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Ф 1,6 м</w:t>
            </w:r>
          </w:p>
        </w:tc>
        <w:tc>
          <w:tcPr>
            <w:tcW w:w="154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17</w:t>
            </w:r>
          </w:p>
        </w:tc>
        <w:tc>
          <w:tcPr>
            <w:tcW w:w="659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Дисковый затвор гидротурбины №4</w:t>
            </w:r>
          </w:p>
        </w:tc>
        <w:tc>
          <w:tcPr>
            <w:tcW w:w="145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Ф 1,6 м</w:t>
            </w:r>
          </w:p>
        </w:tc>
        <w:tc>
          <w:tcPr>
            <w:tcW w:w="154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18</w:t>
            </w:r>
          </w:p>
        </w:tc>
        <w:tc>
          <w:tcPr>
            <w:tcW w:w="659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Дисковый затвор гидротурбины №5</w:t>
            </w:r>
          </w:p>
        </w:tc>
        <w:tc>
          <w:tcPr>
            <w:tcW w:w="145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Ф 1,6 м</w:t>
            </w:r>
          </w:p>
        </w:tc>
        <w:tc>
          <w:tcPr>
            <w:tcW w:w="154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19</w:t>
            </w:r>
          </w:p>
        </w:tc>
        <w:tc>
          <w:tcPr>
            <w:tcW w:w="659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Металлоконструкция шахты водоприемника</w:t>
            </w:r>
          </w:p>
        </w:tc>
        <w:tc>
          <w:tcPr>
            <w:tcW w:w="145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1,8м х 6,0м</w:t>
            </w:r>
          </w:p>
        </w:tc>
        <w:tc>
          <w:tcPr>
            <w:tcW w:w="154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20</w:t>
            </w:r>
          </w:p>
        </w:tc>
        <w:tc>
          <w:tcPr>
            <w:tcW w:w="659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Пазы колесного затвора водоприемника</w:t>
            </w:r>
          </w:p>
        </w:tc>
        <w:tc>
          <w:tcPr>
            <w:tcW w:w="145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4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21</w:t>
            </w:r>
          </w:p>
        </w:tc>
        <w:tc>
          <w:tcPr>
            <w:tcW w:w="659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Пазы колесного затвора донного водосброса</w:t>
            </w:r>
          </w:p>
        </w:tc>
        <w:tc>
          <w:tcPr>
            <w:tcW w:w="145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4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22</w:t>
            </w:r>
          </w:p>
        </w:tc>
        <w:tc>
          <w:tcPr>
            <w:tcW w:w="659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Пазы плоского затвора донного водосброса (ремонтного)</w:t>
            </w:r>
          </w:p>
        </w:tc>
        <w:tc>
          <w:tcPr>
            <w:tcW w:w="145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4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23</w:t>
            </w:r>
          </w:p>
        </w:tc>
        <w:tc>
          <w:tcPr>
            <w:tcW w:w="659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Лебёдки 5т №1 сегментного затвора</w:t>
            </w:r>
          </w:p>
        </w:tc>
        <w:tc>
          <w:tcPr>
            <w:tcW w:w="145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24</w:t>
            </w:r>
          </w:p>
        </w:tc>
        <w:tc>
          <w:tcPr>
            <w:tcW w:w="659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Лебёдки 5т №2 сегментного затвора</w:t>
            </w:r>
          </w:p>
        </w:tc>
        <w:tc>
          <w:tcPr>
            <w:tcW w:w="145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25</w:t>
            </w:r>
          </w:p>
        </w:tc>
        <w:tc>
          <w:tcPr>
            <w:tcW w:w="659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 xml:space="preserve">Лебедка 10т затвора напорного водовода </w:t>
            </w:r>
          </w:p>
        </w:tc>
        <w:tc>
          <w:tcPr>
            <w:tcW w:w="145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26</w:t>
            </w:r>
          </w:p>
        </w:tc>
        <w:tc>
          <w:tcPr>
            <w:tcW w:w="659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 xml:space="preserve">Лебедка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 xml:space="preserve">5,0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 xml:space="preserve">т затвора малого водосброса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(канатный механизм)</w:t>
            </w:r>
          </w:p>
        </w:tc>
        <w:tc>
          <w:tcPr>
            <w:tcW w:w="145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а)</w:t>
        <w:tab/>
        <w:t>В объём работ по обследованию затворов входят:</w:t>
      </w:r>
    </w:p>
    <w:p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- визуальный и инструментальный контроль геометрических размеров металлоконструкций, опорных и катковых узлов;</w:t>
      </w:r>
    </w:p>
    <w:p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- проведение </w:t>
      </w:r>
      <w:r>
        <w:rPr>
          <w:sz w:val="24"/>
          <w:szCs w:val="24"/>
        </w:rPr>
        <w:t xml:space="preserve">обследования </w:t>
      </w:r>
      <w:r>
        <w:rPr>
          <w:sz w:val="24"/>
          <w:szCs w:val="24"/>
        </w:rPr>
        <w:t>направляющих, порога, забральной балки и др. для оценки общего состояния закладных частей;</w:t>
      </w:r>
    </w:p>
    <w:p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- обследование тяг, подхватов, зацепов и другой специальной оснастки для подъема, опускания затвора;</w:t>
      </w:r>
    </w:p>
    <w:p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- обследование резинового уплотнения по периметру затвора;</w:t>
      </w:r>
    </w:p>
    <w:p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- обследование втулок подшипников скольжения в катковых опорах;</w:t>
      </w:r>
    </w:p>
    <w:p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- обследование механическая обработка рабочей поверхности катковых опор;</w:t>
      </w:r>
    </w:p>
    <w:p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- обследование крепежных элементов;</w:t>
      </w:r>
    </w:p>
    <w:p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- обследование антикоррозионной защиты оборудования;</w:t>
      </w:r>
    </w:p>
    <w:p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- составление карт замеров, формуляров, протоколов и выдача рекомендации по дальнейшем техническом воздействии.</w:t>
      </w:r>
    </w:p>
    <w:p>
      <w:pPr>
        <w:pStyle w:val="NoSpacing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б)</w:t>
        <w:tab/>
        <w:t>В объём работ по обследованию сороудерживающий решетки входят:</w:t>
      </w:r>
    </w:p>
    <w:p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- визуальный и инструментальный контроль геометрических размеров металлоконструкций;</w:t>
      </w:r>
    </w:p>
    <w:p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- обследование напорного полотна решетки;</w:t>
      </w:r>
    </w:p>
    <w:p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- обследование сборка крепежных элементов;</w:t>
      </w:r>
    </w:p>
    <w:p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- обследование сварочных швов;</w:t>
      </w:r>
    </w:p>
    <w:p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- обследование антикоррозионной защиты оборудования;</w:t>
      </w:r>
    </w:p>
    <w:p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- составление карт замеров, формуляров, протоколов и выдача рекомендации по дальнейшем техническом воздействии.</w:t>
      </w:r>
    </w:p>
    <w:p>
      <w:pPr>
        <w:pStyle w:val="NoSpacing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в)   По</w:t>
        <w:tab/>
        <w:t>результатам обследованию подъёмных сооружений работы выдается:</w:t>
      </w:r>
    </w:p>
    <w:p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- обследование эстакады подъёмных сооружений; </w:t>
      </w:r>
    </w:p>
    <w:p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- обследование крепежных элементов;</w:t>
      </w:r>
    </w:p>
    <w:p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-  обследование полиспастов и синхронности работы редукторов;</w:t>
      </w:r>
    </w:p>
    <w:p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- обследование троса;</w:t>
      </w:r>
    </w:p>
    <w:p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- обследование электрической части </w:t>
      </w:r>
    </w:p>
    <w:p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- обследование антикоррозионной защиты оборудования;</w:t>
      </w:r>
    </w:p>
    <w:p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- составление карт замеров, формуляров, протоколов и выдача рекомендации по дальнейшем техническом воздействии</w:t>
      </w:r>
    </w:p>
    <w:p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г)   По</w:t>
        <w:tab/>
        <w:t>результатам работы выдается:</w:t>
      </w:r>
    </w:p>
    <w:p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-Технический отчет о проведенной работе (представить на бумажном (кол-во 3 экз.) и на электронном носителе в формате *</w:t>
      </w:r>
      <w:r>
        <w:rPr>
          <w:sz w:val="24"/>
          <w:szCs w:val="24"/>
          <w:lang w:val="en-US"/>
        </w:rPr>
        <w:t>doc</w:t>
      </w:r>
      <w:r>
        <w:rPr>
          <w:sz w:val="24"/>
          <w:szCs w:val="24"/>
        </w:rPr>
        <w:t>, *</w:t>
      </w:r>
      <w:r>
        <w:rPr>
          <w:sz w:val="24"/>
          <w:szCs w:val="24"/>
          <w:lang w:val="en-US"/>
        </w:rPr>
        <w:t>xls</w:t>
      </w:r>
      <w:r>
        <w:rPr>
          <w:sz w:val="24"/>
          <w:szCs w:val="24"/>
        </w:rPr>
        <w:t>.)</w:t>
      </w:r>
    </w:p>
    <w:p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- Заключение о состояния механического оборудования ГТС с рекомендациями по дальнейшей его эксплуатации;</w:t>
      </w:r>
    </w:p>
    <w:p>
      <w:pPr>
        <w:pStyle w:val="NoSpacing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5.Сроки поставки товаров, выполнения работ, оказания услуг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Начало работ: с даты подписания договора.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Окончание работ: 10.01.2026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6. Иные условия поставки товаров, выполнения работ, оказания услуг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Для оценки стоимости и объема работ поставщику услуг предоставляется право ознакомиться с местом производства работ, имеющейся на станции рабочей документацией, провести переговоры со специалистами станции. </w:t>
      </w:r>
    </w:p>
    <w:p>
      <w:pPr>
        <w:pStyle w:val="Normal"/>
        <w:spacing w:lineRule="auto" w:line="240" w:before="0" w:after="0"/>
        <w:ind w:firstLine="360"/>
        <w:jc w:val="both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Cs/>
          <w:sz w:val="24"/>
          <w:szCs w:val="24"/>
          <w:lang w:eastAsia="ru-RU"/>
        </w:rPr>
        <w:t xml:space="preserve">Проведение работ по обследованию должны быть согласованы с ответственным персоналом ОП «Ирганайская ГЭС» и оперативной службой для возможности корректного вывода оборудования для обследования без помех оперативной работе станции. </w:t>
      </w:r>
    </w:p>
    <w:p>
      <w:pPr>
        <w:pStyle w:val="Normal"/>
        <w:spacing w:lineRule="auto" w:line="240" w:before="0" w:after="0"/>
        <w:ind w:firstLine="360"/>
        <w:jc w:val="both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Cs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7. Требования к поставщику (подрядчику, исполнителю)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Таблица 2</w:t>
      </w:r>
    </w:p>
    <w:tbl>
      <w:tblPr>
        <w:tblW w:w="9889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VBand="0" w:noHBand="0" w:lastColumn="0" w:firstColumn="0" w:lastRow="0" w:firstRow="0"/>
      </w:tblPr>
      <w:tblGrid>
        <w:gridCol w:w="675"/>
        <w:gridCol w:w="1985"/>
        <w:gridCol w:w="7229"/>
      </w:tblGrid>
      <w:tr>
        <w:trPr>
          <w:trHeight w:val="96" w:hRule="atLeast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№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Наименование параметра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Требование заказчика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</w:t>
            </w:r>
          </w:p>
        </w:tc>
      </w:tr>
      <w:tr>
        <w:trPr>
          <w:trHeight w:val="3256" w:hRule="atLeast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1"/>
                <w:numId w:val="2"/>
              </w:numPr>
              <w:spacing w:lineRule="auto" w:line="240" w:before="0" w:after="0"/>
              <w:ind w:left="0" w:hanging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Toc440913441"/>
            <w:r>
              <w:rPr>
                <w:rFonts w:cs="Times New Roman" w:ascii="Times New Roman" w:hAnsi="Times New Roman"/>
                <w:sz w:val="24"/>
                <w:szCs w:val="24"/>
              </w:rPr>
              <w:t>Материально-техническое оснащение</w:t>
            </w:r>
            <w:bookmarkEnd w:id="0"/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Участник должен подтвердить наличие в собственности либо на ином законном основании (в собственности, либо на ином законном основании) оборудования, инструмента и приспособлений, необходимых для производства работ по данному лоту. Минимальные требования к техническому оснащению: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 Компьютер для обработки информации -</w:t>
            </w:r>
            <w:r>
              <w:rPr/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1комплект.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 Дефектоскоп проникающими веществами -1комплект.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 Комплект слесарных инструментов -1комплект.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 Фотоаппарат -1комплект.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 Индикатор концентрации напряжений -1комплект.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 Твердомер-1комплект.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 Комплект для визуального и измерительного контроля - 1комплект.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 Пояс предохранительный - 3комплекта.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 Толщиномер-1комплект.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Подтверждается предоставлением Справки о материально-технических ресурсах, подготовленной по форме, приведенной в Документации о закупке.</w:t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1"/>
                <w:numId w:val="2"/>
              </w:numPr>
              <w:spacing w:lineRule="auto" w:line="240" w:before="0" w:after="0"/>
              <w:ind w:left="0" w:hanging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Toc440913450"/>
            <w:r>
              <w:rPr>
                <w:rFonts w:cs="Times New Roman" w:ascii="Times New Roman" w:hAnsi="Times New Roman"/>
                <w:sz w:val="24"/>
                <w:szCs w:val="24"/>
              </w:rPr>
              <w:t>Наличие квалифицированного персонала (наладка)</w:t>
            </w:r>
            <w:bookmarkEnd w:id="1"/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Наличие в штате Участника закупки собственного или привлеченного персонала (по трудовым либо по гражданско-правовым договорам) не менее:</w:t>
            </w:r>
          </w:p>
          <w:p>
            <w:pPr>
              <w:pStyle w:val="2"/>
              <w:widowControl w:val="false"/>
              <w:shd w:val="clear" w:color="auto" w:fill="auto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Два в</w:t>
            </w:r>
            <w:r>
              <w:rPr>
                <w:rStyle w:val="105pt"/>
                <w:sz w:val="24"/>
                <w:szCs w:val="24"/>
              </w:rPr>
              <w:t>едущих инженера</w:t>
            </w:r>
            <w:r>
              <w:rPr>
                <w:sz w:val="24"/>
                <w:szCs w:val="24"/>
              </w:rPr>
              <w:t>;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2. Один старший научный сотрудник;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3. Один специалист;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Персонал должен сопровождается квалификационным удостоверениями УК; ВИК; ПВК.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Соответствие установленным требованиям подтверждается путем представления участником закупки в составе заявки справки о кадровых ресурсах по форме, приведенной в Документации о закупке при этом заказчик вправе запросить копии квалификационных аттестатов/дипломов/ сертификатов специалистов.</w:t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1"/>
                <w:numId w:val="2"/>
              </w:numPr>
              <w:spacing w:lineRule="auto" w:line="240" w:before="0" w:after="0"/>
              <w:ind w:left="0" w:hang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Требование к опыту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Наличие у участника закупки опыта выполнения работ по техническому диагностированию с применением неразрушающего контроля состояния металла, за последние 5-лет предшествующие дате окончания срока подачи заявок на участие в настоящей закупочной процедуре, при этом Участником должны быть исполнены обязательства (выполнены указанные работы) в общем объёме, не менее 40% от НМЦ. Соответствие указанному требованию подтверждается путём предоставления участником закупки в составе заявки сведений о ранее выполненных договорах по форме «Справка о перечне и годовых объёмах выполнения аналогичных договоров», приведённой в Документации о закупке. При необходимости Заказчик вправе запросить подтверждающие документы (копии договоров и актов выполненных работ, подписанных с обеих сторон).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Сведения, не позволяющие явно/однозначно определить наличие требуемого опыта у Участника, не оцениваются.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40" w:before="0" w:after="0"/>
        <w:ind w:left="900" w:hanging="54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8.Требования к документации по ценообразованию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 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«При определении стоимости работ (услуг) и оформлению сметной документации применять в обязательном порядке «Требования к оформлению и составлению сметной документации …»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before="0"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9.Иные требования и условия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Р</w:t>
      </w:r>
      <w:r>
        <w:rPr>
          <w:rFonts w:cs="Times New Roman" w:ascii="Times New Roman" w:hAnsi="Times New Roman"/>
          <w:iCs/>
          <w:sz w:val="24"/>
          <w:szCs w:val="24"/>
        </w:rPr>
        <w:t xml:space="preserve">аботы считаются </w:t>
      </w:r>
      <w:r>
        <w:rPr>
          <w:rFonts w:cs="Times New Roman" w:ascii="Times New Roman" w:hAnsi="Times New Roman"/>
          <w:sz w:val="24"/>
          <w:szCs w:val="24"/>
        </w:rPr>
        <w:t xml:space="preserve">выполненными - после составления отчета согласно перечня, и передачи Заказчику оригинала с визами ответственных лиц выполнявших данную работу. 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Технический отчет о проведенной работе представлять на бумажном (3 экземпляра.) и на   электронном носителях в форматах </w:t>
      </w:r>
      <w:r>
        <w:rPr>
          <w:rFonts w:eastAsia="Times New Roman" w:cs="Times New Roman" w:ascii="Times New Roman" w:hAnsi="Times New Roman"/>
          <w:color w:val="000000"/>
          <w:spacing w:val="-12"/>
          <w:sz w:val="24"/>
          <w:szCs w:val="24"/>
          <w:lang w:eastAsia="ru-RU"/>
        </w:rPr>
        <w:t>*.</w:t>
      </w:r>
      <w:r>
        <w:rPr>
          <w:rFonts w:eastAsia="Times New Roman" w:cs="Times New Roman" w:ascii="Times New Roman" w:hAnsi="Times New Roman"/>
          <w:color w:val="000000"/>
          <w:spacing w:val="-12"/>
          <w:sz w:val="24"/>
          <w:szCs w:val="24"/>
          <w:lang w:val="en-US" w:eastAsia="ru-RU"/>
        </w:rPr>
        <w:t>dwq</w:t>
      </w:r>
      <w:r>
        <w:rPr>
          <w:rFonts w:eastAsia="Times New Roman" w:cs="Times New Roman" w:ascii="Times New Roman" w:hAnsi="Times New Roman"/>
          <w:color w:val="000000"/>
          <w:spacing w:val="-12"/>
          <w:sz w:val="24"/>
          <w:szCs w:val="24"/>
          <w:lang w:eastAsia="ru-RU"/>
        </w:rPr>
        <w:t xml:space="preserve"> , *. </w:t>
      </w:r>
      <w:r>
        <w:rPr>
          <w:rFonts w:eastAsia="Times New Roman" w:cs="Times New Roman" w:ascii="Times New Roman" w:hAnsi="Times New Roman"/>
          <w:color w:val="000000"/>
          <w:spacing w:val="-12"/>
          <w:sz w:val="24"/>
          <w:szCs w:val="24"/>
          <w:lang w:val="en-US" w:eastAsia="ru-RU"/>
        </w:rPr>
        <w:t>vsd</w:t>
      </w:r>
      <w:r>
        <w:rPr>
          <w:rFonts w:eastAsia="Times New Roman" w:cs="Times New Roman" w:ascii="Times New Roman" w:hAnsi="Times New Roman"/>
          <w:color w:val="000000"/>
          <w:spacing w:val="-12"/>
          <w:sz w:val="24"/>
          <w:szCs w:val="24"/>
          <w:lang w:eastAsia="ru-RU"/>
        </w:rPr>
        <w:t xml:space="preserve"> ,</w:t>
      </w:r>
      <w:r>
        <w:rPr>
          <w:rFonts w:eastAsia="Times New Roman" w:cs="Times New Roman" w:ascii="Times New Roman" w:hAnsi="Times New Roman"/>
          <w:b/>
          <w:color w:val="000000"/>
          <w:spacing w:val="-12"/>
          <w:sz w:val="24"/>
          <w:szCs w:val="24"/>
          <w:lang w:eastAsia="ru-RU"/>
        </w:rPr>
        <w:t xml:space="preserve">  *</w:t>
      </w:r>
      <w:r>
        <w:rPr>
          <w:rFonts w:eastAsia="Times New Roman" w:cs="Times New Roman" w:ascii="Times New Roman" w:hAnsi="Times New Roman"/>
          <w:color w:val="000000"/>
          <w:spacing w:val="-12"/>
          <w:sz w:val="24"/>
          <w:szCs w:val="24"/>
          <w:lang w:eastAsia="ru-RU"/>
        </w:rPr>
        <w:t>.</w:t>
      </w:r>
      <w:r>
        <w:rPr>
          <w:rFonts w:eastAsia="Times New Roman" w:cs="Times New Roman" w:ascii="Times New Roman" w:hAnsi="Times New Roman"/>
          <w:color w:val="000000"/>
          <w:spacing w:val="-12"/>
          <w:sz w:val="24"/>
          <w:szCs w:val="24"/>
          <w:lang w:val="en-US" w:eastAsia="ru-RU"/>
        </w:rPr>
        <w:t>doc</w:t>
      </w:r>
      <w:r>
        <w:rPr>
          <w:rFonts w:eastAsia="Times New Roman" w:cs="Times New Roman" w:ascii="Times New Roman" w:hAnsi="Times New Roman"/>
          <w:color w:val="000000"/>
          <w:spacing w:val="-12"/>
          <w:sz w:val="24"/>
          <w:szCs w:val="24"/>
          <w:lang w:eastAsia="ru-RU"/>
        </w:rPr>
        <w:t>,   *.</w:t>
      </w:r>
      <w:r>
        <w:rPr>
          <w:rFonts w:eastAsia="Times New Roman" w:cs="Times New Roman" w:ascii="Times New Roman" w:hAnsi="Times New Roman"/>
          <w:color w:val="000000"/>
          <w:spacing w:val="-12"/>
          <w:sz w:val="24"/>
          <w:szCs w:val="24"/>
          <w:lang w:val="en-US" w:eastAsia="ru-RU"/>
        </w:rPr>
        <w:t>xls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.</w:t>
      </w:r>
    </w:p>
    <w:p>
      <w:pPr>
        <w:pStyle w:val="Normal"/>
        <w:spacing w:lineRule="auto" w:line="240" w:before="0" w:after="0"/>
        <w:ind w:firstLine="36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Лист согласования к ТТ лота №  -НИР-2025-ДФ:</w:t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Times New Roman" w:hAnsi="Times New Roman" w:eastAsia="Calibri" w:cs="Times New Roman"/>
          <w:b/>
          <w:bCs/>
          <w:sz w:val="24"/>
          <w:szCs w:val="24"/>
          <w:lang w:eastAsia="ru-RU"/>
        </w:rPr>
      </w:pPr>
      <w:r>
        <w:rPr>
          <w:rFonts w:eastAsia="Calibri" w:cs="Times New Roman" w:ascii="Times New Roman" w:hAnsi="Times New Roman"/>
          <w:b/>
          <w:bCs/>
          <w:sz w:val="24"/>
          <w:szCs w:val="24"/>
          <w:lang w:eastAsia="ru-RU"/>
        </w:rPr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Times New Roman" w:hAnsi="Times New Roman" w:eastAsia="Calibri" w:cs="Times New Roman"/>
          <w:b/>
          <w:bCs/>
          <w:sz w:val="24"/>
          <w:szCs w:val="24"/>
          <w:lang w:eastAsia="ru-RU"/>
        </w:rPr>
      </w:pPr>
      <w:r>
        <w:rPr>
          <w:rFonts w:eastAsia="Calibri" w:cs="Times New Roman" w:ascii="Times New Roman" w:hAnsi="Times New Roman"/>
          <w:b/>
          <w:bCs/>
          <w:sz w:val="24"/>
          <w:szCs w:val="24"/>
          <w:lang w:eastAsia="ru-RU"/>
        </w:rPr>
        <w:t>СОГЛАСОВАНО:</w:t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Times New Roman" w:hAnsi="Times New Roman" w:eastAsia="Calibri" w:cs="Times New Roman"/>
          <w:b/>
          <w:sz w:val="24"/>
          <w:szCs w:val="24"/>
          <w:lang w:eastAsia="ru-RU"/>
        </w:rPr>
      </w:pPr>
      <w:r>
        <w:rPr>
          <w:rFonts w:eastAsia="Calibri" w:cs="Times New Roman" w:ascii="Times New Roman" w:hAnsi="Times New Roman"/>
          <w:sz w:val="24"/>
          <w:szCs w:val="24"/>
          <w:lang w:eastAsia="ru-RU"/>
        </w:rPr>
        <w:t>Согласовано:                                                              Согласовано:</w:t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eastAsia="Calibri" w:cs="Times New Roman" w:ascii="Times New Roman" w:hAnsi="Times New Roman"/>
          <w:sz w:val="24"/>
          <w:szCs w:val="24"/>
          <w:lang w:eastAsia="ru-RU"/>
        </w:rPr>
        <w:t xml:space="preserve">Начальник ПТС                                                            Начальник СПСР                                                                </w:t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eastAsia="Calibri" w:cs="Times New Roman" w:ascii="Times New Roman" w:hAnsi="Times New Roman"/>
          <w:sz w:val="24"/>
          <w:szCs w:val="24"/>
          <w:lang w:eastAsia="ru-RU"/>
        </w:rPr>
        <w:t>___________ А.З. Ахмедов                                    ___________ Д.М. Саидов</w:t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eastAsia="Calibri" w:cs="Times New Roman" w:ascii="Times New Roman" w:hAnsi="Times New Roman"/>
          <w:sz w:val="24"/>
          <w:szCs w:val="24"/>
          <w:lang w:eastAsia="ru-RU"/>
        </w:rPr>
        <w:t xml:space="preserve">«____»___________  2025 г.                                 </w:t>
        <w:tab/>
        <w:t>«____» ________ 2025г.</w:t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eastAsia="Calibri" w:cs="Times New Roman" w:ascii="Times New Roman" w:hAnsi="Times New Roman"/>
          <w:sz w:val="24"/>
          <w:szCs w:val="24"/>
          <w:lang w:eastAsia="ru-RU"/>
        </w:rPr>
        <w:tab/>
        <w:tab/>
        <w:tab/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eastAsia="Calibri" w:cs="Times New Roman" w:ascii="Times New Roman" w:hAnsi="Times New Roman"/>
          <w:sz w:val="24"/>
          <w:szCs w:val="24"/>
          <w:lang w:eastAsia="ru-RU"/>
        </w:rPr>
        <w:t>Согласовано:</w:t>
        <w:tab/>
        <w:t xml:space="preserve">                                                               Согласовано:</w:t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eastAsia="Calibri" w:cs="Times New Roman" w:ascii="Times New Roman" w:hAnsi="Times New Roman"/>
          <w:sz w:val="24"/>
          <w:szCs w:val="24"/>
          <w:lang w:eastAsia="ru-RU"/>
        </w:rPr>
        <w:t xml:space="preserve">Начальник ОЗ                                                               Начальник СОТ и ПК                                                                </w:t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eastAsia="Calibri" w:cs="Times New Roman" w:ascii="Times New Roman" w:hAnsi="Times New Roman"/>
          <w:sz w:val="24"/>
          <w:szCs w:val="24"/>
          <w:lang w:eastAsia="ru-RU"/>
        </w:rPr>
        <w:t xml:space="preserve">   </w:t>
      </w:r>
      <w:r>
        <w:rPr>
          <w:rFonts w:eastAsia="Calibri" w:cs="Times New Roman" w:ascii="Times New Roman" w:hAnsi="Times New Roman"/>
          <w:sz w:val="24"/>
          <w:szCs w:val="24"/>
          <w:lang w:eastAsia="ru-RU"/>
        </w:rPr>
        <w:t>___________ М.М. Мусалаев                                    ___________ С.В. Шевченко</w:t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eastAsia="Calibri" w:cs="Times New Roman" w:ascii="Times New Roman" w:hAnsi="Times New Roman"/>
          <w:sz w:val="24"/>
          <w:szCs w:val="24"/>
          <w:lang w:eastAsia="ru-RU"/>
        </w:rPr>
        <w:t>«____»___________  2025 г.                                   «____» ________ 2025г.</w:t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eastAsia="Calibri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eastAsia="Calibri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eastAsia="Calibri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eastAsia="Calibri" w:cs="Times New Roman" w:ascii="Times New Roman" w:hAnsi="Times New Roman"/>
          <w:sz w:val="24"/>
          <w:szCs w:val="24"/>
          <w:lang w:eastAsia="ru-RU"/>
        </w:rPr>
        <w:t>Согласовано:                                                              Согласовано:</w:t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eastAsia="Calibri" w:cs="Times New Roman" w:ascii="Times New Roman" w:hAnsi="Times New Roman"/>
          <w:sz w:val="24"/>
          <w:szCs w:val="24"/>
          <w:lang w:eastAsia="ru-RU"/>
        </w:rPr>
        <w:t>Технический руководитель                                      Начальник станции</w:t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eastAsia="Calibri" w:cs="Times New Roman" w:ascii="Times New Roman" w:hAnsi="Times New Roman"/>
          <w:sz w:val="24"/>
          <w:szCs w:val="24"/>
          <w:lang w:eastAsia="ru-RU"/>
        </w:rPr>
        <w:t>ОП «ИГЭС»                                                                Гергебильской ГЭС</w:t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Times New Roman" w:hAnsi="Times New Roman" w:eastAsia="Calibri" w:cs="Times New Roman"/>
          <w:sz w:val="24"/>
          <w:szCs w:val="24"/>
          <w:u w:val="single"/>
          <w:lang w:eastAsia="ru-RU"/>
        </w:rPr>
      </w:pPr>
      <w:r>
        <w:rPr>
          <w:rFonts w:eastAsia="Calibri" w:cs="Times New Roman" w:ascii="Times New Roman" w:hAnsi="Times New Roman"/>
          <w:sz w:val="24"/>
          <w:szCs w:val="24"/>
          <w:lang w:eastAsia="ru-RU"/>
        </w:rPr>
        <w:t xml:space="preserve">____________ </w:t>
      </w:r>
      <w:r>
        <w:rPr>
          <w:rFonts w:eastAsia="Calibri" w:cs="Times New Roman" w:ascii="Times New Roman" w:hAnsi="Times New Roman"/>
          <w:sz w:val="24"/>
          <w:szCs w:val="24"/>
          <w:u w:val="single"/>
          <w:lang w:eastAsia="ru-RU"/>
        </w:rPr>
        <w:t>И.Ш. Гаджиев</w:t>
      </w:r>
      <w:r>
        <w:rPr>
          <w:rFonts w:eastAsia="Calibri" w:cs="Times New Roman" w:ascii="Times New Roman" w:hAnsi="Times New Roman"/>
          <w:sz w:val="24"/>
          <w:szCs w:val="24"/>
          <w:u w:val="none"/>
          <w:lang w:eastAsia="ru-RU"/>
        </w:rPr>
        <w:t xml:space="preserve">                                    </w:t>
      </w:r>
      <w:r>
        <w:rPr>
          <w:rFonts w:eastAsia="Calibri" w:cs="Times New Roman" w:ascii="Times New Roman" w:hAnsi="Times New Roman"/>
          <w:sz w:val="24"/>
          <w:szCs w:val="24"/>
          <w:u w:val="single"/>
          <w:lang w:eastAsia="ru-RU"/>
        </w:rPr>
        <w:t xml:space="preserve">          ____ М.К. Мазгаров</w:t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/>
        <w:t xml:space="preserve"> </w:t>
      </w:r>
      <w:r>
        <w:rPr>
          <w:rFonts w:eastAsia="Calibri" w:cs="Times New Roman" w:ascii="Times New Roman" w:hAnsi="Times New Roman"/>
          <w:sz w:val="24"/>
          <w:szCs w:val="24"/>
          <w:lang w:eastAsia="ru-RU"/>
        </w:rPr>
        <w:t>«____»___________ 2025 г                                       .«____»___________ 2025 г.</w:t>
      </w:r>
    </w:p>
    <w:tbl>
      <w:tblPr>
        <w:tblStyle w:val="1"/>
        <w:tblW w:w="974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4360"/>
        <w:gridCol w:w="5386"/>
      </w:tblGrid>
      <w:tr>
        <w:trPr/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</w:tbl>
    <w:p>
      <w:pPr>
        <w:pStyle w:val="Normal"/>
        <w:spacing w:lineRule="auto" w:line="240" w:before="0" w:after="0"/>
        <w:ind w:left="5812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left="5812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left="5812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left="5812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left="5812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left="5812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left="5812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left="5812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left="5812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left="5812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left="5812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left="5812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left="5812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left="5812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left="5812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left="5812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left="5812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left="5812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left="5812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left="5812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eastAsia="Calibri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uppressAutoHyphens w:val="true"/>
        <w:spacing w:lineRule="auto" w:line="240" w:before="0" w:after="0"/>
        <w:ind w:left="57" w:hanging="0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Приложение № 1 к ТТ лота </w:t>
      </w:r>
    </w:p>
    <w:p>
      <w:pPr>
        <w:pStyle w:val="Normal"/>
        <w:suppressAutoHyphens w:val="true"/>
        <w:spacing w:lineRule="auto" w:line="240" w:before="0" w:after="0"/>
        <w:ind w:left="57" w:hanging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Требования к оформлению смет</w:t>
      </w:r>
    </w:p>
    <w:p>
      <w:pPr>
        <w:pStyle w:val="Normal"/>
        <w:suppressAutoHyphens w:val="true"/>
        <w:spacing w:lineRule="auto" w:line="240" w:before="0" w:after="0"/>
        <w:ind w:left="57" w:hanging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tabs>
          <w:tab w:val="clear" w:pos="708"/>
          <w:tab w:val="left" w:pos="1260" w:leader="none"/>
        </w:tabs>
        <w:suppressAutoHyphens w:val="true"/>
        <w:spacing w:lineRule="auto" w:line="240" w:before="0" w:after="0"/>
        <w:ind w:left="1260" w:hanging="1080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Требования к оформлению и составлению</w:t>
      </w:r>
    </w:p>
    <w:p>
      <w:pPr>
        <w:pStyle w:val="Normal"/>
        <w:tabs>
          <w:tab w:val="clear" w:pos="708"/>
          <w:tab w:val="left" w:pos="1260" w:leader="none"/>
        </w:tabs>
        <w:suppressAutoHyphens w:val="true"/>
        <w:spacing w:lineRule="auto" w:line="240" w:before="0" w:after="0"/>
        <w:ind w:left="1260" w:hanging="1080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смет или расчетов на выполнение услуг</w:t>
      </w:r>
    </w:p>
    <w:p>
      <w:pPr>
        <w:pStyle w:val="Normal"/>
        <w:tabs>
          <w:tab w:val="clear" w:pos="708"/>
          <w:tab w:val="left" w:pos="1260" w:leader="none"/>
        </w:tabs>
        <w:suppressAutoHyphens w:val="true"/>
        <w:spacing w:lineRule="auto" w:line="240" w:before="0" w:after="0"/>
        <w:ind w:left="1260" w:hanging="1080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по программе научно-исследовательских,</w:t>
      </w:r>
    </w:p>
    <w:p>
      <w:pPr>
        <w:pStyle w:val="Normal"/>
        <w:tabs>
          <w:tab w:val="clear" w:pos="708"/>
          <w:tab w:val="left" w:pos="1260" w:leader="none"/>
        </w:tabs>
        <w:suppressAutoHyphens w:val="true"/>
        <w:spacing w:lineRule="auto" w:line="240" w:before="0" w:after="0"/>
        <w:ind w:left="1260" w:hanging="1080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экспериментальных и опытно-конструкторских работ.</w:t>
      </w:r>
    </w:p>
    <w:p>
      <w:pPr>
        <w:pStyle w:val="Normal"/>
        <w:tabs>
          <w:tab w:val="clear" w:pos="708"/>
          <w:tab w:val="left" w:pos="1260" w:leader="none"/>
        </w:tabs>
        <w:suppressAutoHyphens w:val="true"/>
        <w:spacing w:lineRule="auto" w:line="240" w:before="0" w:after="0"/>
        <w:ind w:left="1260" w:hanging="1080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</w:r>
      <w:bookmarkStart w:id="2" w:name="_GoBack"/>
      <w:bookmarkStart w:id="3" w:name="_GoBack"/>
      <w:bookmarkEnd w:id="3"/>
    </w:p>
    <w:p>
      <w:pPr>
        <w:pStyle w:val="Normal"/>
        <w:numPr>
          <w:ilvl w:val="0"/>
          <w:numId w:val="3"/>
        </w:numPr>
        <w:tabs>
          <w:tab w:val="clear" w:pos="708"/>
          <w:tab w:val="left" w:pos="0" w:leader="none"/>
          <w:tab w:val="left" w:pos="284" w:leader="none"/>
          <w:tab w:val="left" w:pos="709" w:leader="none"/>
        </w:tabs>
        <w:suppressAutoHyphens w:val="true"/>
        <w:spacing w:lineRule="auto" w:line="240" w:before="0" w:after="0"/>
        <w:ind w:left="0" w:firstLine="426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Настоящие требования разработаны для единого подхода к определению стоимости научно-исследовательских, экспериментальных и опытно-конструкторских работ (далее по тексту–НИР/НИОКР).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0" w:leader="none"/>
          <w:tab w:val="left" w:pos="284" w:leader="none"/>
          <w:tab w:val="left" w:pos="709" w:leader="none"/>
        </w:tabs>
        <w:suppressAutoHyphens w:val="true"/>
        <w:spacing w:lineRule="auto" w:line="240" w:before="0" w:after="0"/>
        <w:ind w:left="0" w:firstLine="426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Сметы или расчеты на НИР/НИОКР составлять на основании технических требований (технического задания) заказчика, графиков производства работ.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0" w:leader="none"/>
          <w:tab w:val="left" w:pos="284" w:leader="none"/>
          <w:tab w:val="left" w:pos="709" w:leader="none"/>
        </w:tabs>
        <w:suppressAutoHyphens w:val="true"/>
        <w:spacing w:lineRule="auto" w:line="240" w:before="0" w:after="0"/>
        <w:ind w:left="0" w:firstLine="426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Стоимость НИР/НИОКР (обследований, обмерных работ и т.д.), определяется на основе Справочников базовых цен и других нормативных сборников, внесенных в Федеральный реестр сметных нормативов.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0" w:leader="none"/>
          <w:tab w:val="left" w:pos="284" w:leader="none"/>
          <w:tab w:val="left" w:pos="709" w:leader="none"/>
        </w:tabs>
        <w:suppressAutoHyphens w:val="true"/>
        <w:spacing w:lineRule="auto" w:line="240" w:before="0" w:after="0"/>
        <w:ind w:left="0" w:firstLine="426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При использовании в сметах коэффициентов (доплат, процентов и т.д.) в графе «Номер частей, глав, таблиц, процентов…» указывать обоснование из методических указаний, общих положений сборников или других нормативных документов и приложений к ним.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0" w:leader="none"/>
          <w:tab w:val="left" w:pos="284" w:leader="none"/>
          <w:tab w:val="left" w:pos="709" w:leader="none"/>
        </w:tabs>
        <w:suppressAutoHyphens w:val="true"/>
        <w:spacing w:lineRule="auto" w:line="240" w:before="0" w:after="0"/>
        <w:ind w:left="0" w:firstLine="426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Пересчет сметной стоимости НИР/НИОКР по состоянию на 01.01.2001г, 01.01.1995г. (1991г.) следует производить согласно индексам на указанные работы, рекомендованным к применению письмом соответствующего органа исполнительной власти, уполномоченного в области сметного нормирования и ценообразования в сфере градостроительной деятельности.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0" w:leader="none"/>
        </w:tabs>
        <w:suppressAutoHyphens w:val="true"/>
        <w:spacing w:lineRule="auto" w:line="240" w:before="0" w:after="0"/>
        <w:ind w:left="0" w:firstLine="426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При определении стоимости НИР/НИОКР, затраты организации, расположенной в районах, в которых, в соответствии с действующим законодательством производятся выплаты, обусловленные районным регулированием оплаты труда, в т.ч. выплаты по районным коэффициентам, а также надбавки за непрерывный стаж и других льгот, предусмотренных законодательством в районах Крайнего Севера и приравненных к ним местностям, на основании: «Рекомендаций по определению коэффициента к базовым ценам на проектные работы, учитывающего дополнительные затраты организаций на льготные выплаты по заработной плате», одобренных и рекомендованных к применению письмом Госстроя России от 30.06.98 N 9-10-17/40 дополнительно учитываются путем введения к итогу базовой цены повышающих коэффициентов. Указывать размер примененных коэффициентов, доплат и т.д. с обоснованиями из технической части, вводных указаний сборников или других нормативных документов.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0" w:leader="none"/>
          <w:tab w:val="left" w:pos="284" w:leader="none"/>
          <w:tab w:val="left" w:pos="709" w:leader="none"/>
        </w:tabs>
        <w:suppressAutoHyphens w:val="true"/>
        <w:spacing w:lineRule="auto" w:line="240" w:before="0" w:after="0"/>
        <w:ind w:left="0" w:firstLine="426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Стоимость НИР/НИОКР, цены на которые отсутствуют в СБЦ, СЦ и других нормативных сборниках, внесенных в Федеральный реестр сметных нормативов, определять сметным расчетом по себестоимости и уровню рентабельности (форма 3п) по согласованию с Заказчиком.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0" w:leader="none"/>
          <w:tab w:val="left" w:pos="284" w:leader="none"/>
          <w:tab w:val="left" w:pos="709" w:leader="none"/>
        </w:tabs>
        <w:suppressAutoHyphens w:val="true"/>
        <w:spacing w:lineRule="auto" w:line="240" w:before="0" w:after="0"/>
        <w:ind w:left="0" w:firstLine="426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Средства на выполнение НИР/НИОКР определяются отдельными расчетами в соответствии с видом выполняемых работ и включаются (по необходимости) в сводную смету (Приложение №3).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0" w:leader="none"/>
          <w:tab w:val="left" w:pos="284" w:leader="none"/>
          <w:tab w:val="left" w:pos="709" w:leader="none"/>
        </w:tabs>
        <w:suppressAutoHyphens w:val="true"/>
        <w:spacing w:lineRule="auto" w:line="240" w:before="0" w:after="0"/>
        <w:ind w:left="0" w:firstLine="426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Результаты вычислений и итоговые данные в графе «Стоимость работ» округлять до целых рублей. Величину НДС указывать с копейками, включая строки «Всего по смете, с НДС».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0" w:leader="none"/>
          <w:tab w:val="left" w:pos="284" w:leader="none"/>
          <w:tab w:val="left" w:pos="709" w:leader="none"/>
        </w:tabs>
        <w:suppressAutoHyphens w:val="true"/>
        <w:spacing w:lineRule="auto" w:line="240" w:before="0" w:after="0"/>
        <w:ind w:left="0" w:firstLine="284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Сметы предоставляются в 2-х вариантах: бумажном и электронном (в формате «</w:t>
      </w:r>
      <w:r>
        <w:rPr>
          <w:rFonts w:eastAsia="Times New Roman" w:cs="Times New Roman" w:ascii="Times New Roman" w:hAnsi="Times New Roman"/>
          <w:sz w:val="24"/>
          <w:szCs w:val="24"/>
          <w:lang w:val="en-US" w:eastAsia="ru-RU"/>
        </w:rPr>
        <w:t>xml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», ПК «Гранд-Смета», «</w:t>
      </w:r>
      <w:r>
        <w:rPr>
          <w:rFonts w:eastAsia="Times New Roman" w:cs="Times New Roman" w:ascii="Times New Roman" w:hAnsi="Times New Roman"/>
          <w:sz w:val="24"/>
          <w:szCs w:val="24"/>
          <w:lang w:val="en-US" w:eastAsia="ru-RU"/>
        </w:rPr>
        <w:t>Excel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»).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0" w:leader="none"/>
          <w:tab w:val="left" w:pos="284" w:leader="none"/>
          <w:tab w:val="left" w:pos="709" w:leader="none"/>
        </w:tabs>
        <w:suppressAutoHyphens w:val="true"/>
        <w:spacing w:lineRule="auto" w:line="240" w:before="0" w:after="0"/>
        <w:ind w:left="0" w:firstLine="284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При необходимости учета командировочных расходов в сметной документации составляется предварительный расчет. Размер суточных командировочных расходов определить в соответствии с Федеральным законом от 24 июля 2007 г. N 216-ФЗ и с учетом норм, определяемых внутренним документом организации. </w:t>
      </w:r>
    </w:p>
    <w:p>
      <w:pPr>
        <w:pStyle w:val="Normal"/>
        <w:tabs>
          <w:tab w:val="clear" w:pos="708"/>
          <w:tab w:val="left" w:pos="0" w:leader="none"/>
          <w:tab w:val="left" w:pos="284" w:leader="none"/>
          <w:tab w:val="left" w:pos="567" w:leader="none"/>
          <w:tab w:val="left" w:pos="709" w:leader="none"/>
          <w:tab w:val="left" w:pos="993" w:leader="none"/>
        </w:tabs>
        <w:suppressAutoHyphens w:val="true"/>
        <w:spacing w:lineRule="auto" w:line="240" w:before="0" w:after="0"/>
        <w:ind w:firstLine="426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Лимиты командировочных расходов при производстве НИР/НИОКР по статьям затрат следующие:</w:t>
      </w:r>
    </w:p>
    <w:p>
      <w:pPr>
        <w:pStyle w:val="Normal"/>
        <w:tabs>
          <w:tab w:val="clear" w:pos="708"/>
          <w:tab w:val="left" w:pos="0" w:leader="none"/>
          <w:tab w:val="left" w:pos="284" w:leader="none"/>
          <w:tab w:val="left" w:pos="567" w:leader="none"/>
          <w:tab w:val="left" w:pos="709" w:leader="none"/>
          <w:tab w:val="left" w:pos="993" w:leader="none"/>
        </w:tabs>
        <w:suppressAutoHyphens w:val="true"/>
        <w:spacing w:lineRule="auto" w:line="240" w:before="0" w:after="0"/>
        <w:ind w:firstLine="426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суточные-700 руб./сутки;</w:t>
      </w:r>
    </w:p>
    <w:p>
      <w:pPr>
        <w:pStyle w:val="Normal"/>
        <w:tabs>
          <w:tab w:val="clear" w:pos="708"/>
          <w:tab w:val="left" w:pos="0" w:leader="none"/>
          <w:tab w:val="left" w:pos="284" w:leader="none"/>
          <w:tab w:val="left" w:pos="567" w:leader="none"/>
          <w:tab w:val="left" w:pos="709" w:leader="none"/>
          <w:tab w:val="left" w:pos="993" w:leader="none"/>
        </w:tabs>
        <w:suppressAutoHyphens w:val="true"/>
        <w:spacing w:lineRule="auto" w:line="240" w:before="0" w:after="0"/>
        <w:ind w:firstLine="426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проживание-3500руб./сутки;</w:t>
      </w:r>
    </w:p>
    <w:p>
      <w:pPr>
        <w:pStyle w:val="Normal"/>
        <w:tabs>
          <w:tab w:val="clear" w:pos="708"/>
          <w:tab w:val="left" w:pos="0" w:leader="none"/>
          <w:tab w:val="left" w:pos="284" w:leader="none"/>
          <w:tab w:val="left" w:pos="567" w:leader="none"/>
          <w:tab w:val="left" w:pos="709" w:leader="none"/>
          <w:tab w:val="left" w:pos="993" w:leader="none"/>
        </w:tabs>
        <w:suppressAutoHyphens w:val="true"/>
        <w:spacing w:lineRule="auto" w:line="240" w:before="0" w:after="0"/>
        <w:ind w:firstLine="426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проезд: поезд (купе) или самолет (класс–эконом).</w:t>
      </w:r>
    </w:p>
    <w:p>
      <w:pPr>
        <w:pStyle w:val="Normal"/>
        <w:tabs>
          <w:tab w:val="clear" w:pos="708"/>
          <w:tab w:val="left" w:pos="0" w:leader="none"/>
          <w:tab w:val="left" w:pos="284" w:leader="none"/>
          <w:tab w:val="left" w:pos="567" w:leader="none"/>
          <w:tab w:val="left" w:pos="709" w:leader="none"/>
          <w:tab w:val="left" w:pos="993" w:leader="none"/>
        </w:tabs>
        <w:suppressAutoHyphens w:val="true"/>
        <w:spacing w:lineRule="auto" w:line="240" w:before="0" w:after="0"/>
        <w:ind w:firstLine="426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Данные лимиты могут быть пересмотрены в зависимости от региона расположения объекта работ (по согласованию с ДЗ на этапе заключения договора/дополнительного соглашения, сметчиками филиала при подписании договора на филиале). </w:t>
      </w:r>
    </w:p>
    <w:p>
      <w:pPr>
        <w:sectPr>
          <w:type w:val="nextPage"/>
          <w:pgSz w:w="11906" w:h="16838"/>
          <w:pgMar w:left="851" w:right="709" w:gutter="0" w:header="0" w:top="851" w:footer="0" w:bottom="709"/>
          <w:pgNumType w:fmt="decimal"/>
          <w:formProt w:val="false"/>
          <w:titlePg/>
          <w:textDirection w:val="lrTb"/>
          <w:docGrid w:type="default" w:linePitch="360" w:charSpace="4096"/>
        </w:sectPr>
        <w:pStyle w:val="Normal"/>
        <w:tabs>
          <w:tab w:val="clear" w:pos="708"/>
          <w:tab w:val="left" w:pos="284" w:leader="none"/>
          <w:tab w:val="left" w:pos="567" w:leader="none"/>
          <w:tab w:val="left" w:pos="709" w:leader="none"/>
          <w:tab w:val="left" w:pos="993" w:leader="none"/>
        </w:tabs>
        <w:suppressAutoHyphens w:val="true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Затраты на командировочные расходы по итогам работы должны быть подтверждены соответствующими отчетными документами.</w:t>
      </w:r>
    </w:p>
    <w:p>
      <w:pPr>
        <w:pStyle w:val="Normal"/>
        <w:suppressAutoHyphens w:val="true"/>
        <w:spacing w:before="0" w:after="0"/>
        <w:ind w:left="5670" w:hanging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Приложение №2 к Требованиям к оформлению и составлению смет или расчетов на выполнение услуг по программе НИР/НИОКР</w:t>
      </w:r>
    </w:p>
    <w:p>
      <w:pPr>
        <w:pStyle w:val="Normal"/>
        <w:suppressAutoHyphens w:val="true"/>
        <w:spacing w:before="0" w:after="0"/>
        <w:ind w:left="5670" w:hanging="0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</w:r>
    </w:p>
    <w:p>
      <w:pPr>
        <w:pStyle w:val="Normal"/>
        <w:suppressAutoHyphens w:val="true"/>
        <w:spacing w:before="0" w:after="0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 xml:space="preserve">ПОЯСНИТЕЛЬНАЯ ЗАПИСКА </w:t>
      </w:r>
    </w:p>
    <w:p>
      <w:pPr>
        <w:pStyle w:val="Normal"/>
        <w:suppressAutoHyphens w:val="true"/>
        <w:spacing w:before="0" w:after="0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по заполнению формы 3п</w:t>
      </w:r>
    </w:p>
    <w:p>
      <w:pPr>
        <w:pStyle w:val="Normal"/>
        <w:suppressAutoHyphens w:val="true"/>
        <w:spacing w:before="0" w:after="0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при составлении смет на НИР/НИОКР.</w:t>
      </w:r>
    </w:p>
    <w:p>
      <w:pPr>
        <w:pStyle w:val="Normal"/>
        <w:tabs>
          <w:tab w:val="clear" w:pos="708"/>
          <w:tab w:val="left" w:pos="1134" w:leader="none"/>
        </w:tabs>
        <w:suppressAutoHyphens w:val="true"/>
        <w:spacing w:before="0" w:after="0"/>
        <w:ind w:firstLine="567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numPr>
          <w:ilvl w:val="0"/>
          <w:numId w:val="7"/>
        </w:numPr>
        <w:tabs>
          <w:tab w:val="clear" w:pos="708"/>
          <w:tab w:val="left" w:pos="142" w:leader="none"/>
          <w:tab w:val="left" w:pos="567" w:leader="none"/>
        </w:tabs>
        <w:suppressAutoHyphens w:val="true"/>
        <w:spacing w:lineRule="auto" w:line="240" w:before="0" w:after="0"/>
        <w:ind w:left="0" w:firstLine="284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При составлении сметного расчета по трудозатратам (форма 3п), разработанным организацией, выполняющей НИР/НИОКР, обоснование расчета трудозатрат представляется заказчику по его просьбе. Сметные расчеты составляются в ценах текущего периода.</w:t>
      </w:r>
    </w:p>
    <w:p>
      <w:pPr>
        <w:pStyle w:val="Normal"/>
        <w:numPr>
          <w:ilvl w:val="0"/>
          <w:numId w:val="7"/>
        </w:numPr>
        <w:tabs>
          <w:tab w:val="clear" w:pos="708"/>
          <w:tab w:val="left" w:pos="567" w:leader="none"/>
          <w:tab w:val="left" w:pos="993" w:leader="none"/>
          <w:tab w:val="left" w:pos="1080" w:leader="none"/>
        </w:tabs>
        <w:suppressAutoHyphens w:val="true"/>
        <w:spacing w:lineRule="auto" w:line="240" w:before="0" w:after="0"/>
        <w:ind w:left="0" w:firstLine="284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Расчетом по трудозатратам (форма 3п) рекомендуется определять стоимость работ, цены на которые отсутствуют в СБЦ, СЦ и других нормативных сборниках, внесенных в Федеральный реестр сметных нормативов.</w:t>
      </w:r>
    </w:p>
    <w:p>
      <w:pPr>
        <w:pStyle w:val="Normal"/>
        <w:numPr>
          <w:ilvl w:val="0"/>
          <w:numId w:val="7"/>
        </w:numPr>
        <w:tabs>
          <w:tab w:val="clear" w:pos="708"/>
          <w:tab w:val="left" w:pos="567" w:leader="none"/>
          <w:tab w:val="left" w:pos="993" w:leader="none"/>
          <w:tab w:val="left" w:pos="1080" w:leader="none"/>
        </w:tabs>
        <w:suppressAutoHyphens w:val="true"/>
        <w:spacing w:lineRule="auto" w:line="240" w:before="0" w:after="0"/>
        <w:ind w:left="0" w:firstLine="284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Форма сметы для определения затрат по себестоимости и уровню рентабельности (форма 3п) приведена в Образце 3П Приложения №2.</w:t>
      </w:r>
    </w:p>
    <w:p>
      <w:pPr>
        <w:pStyle w:val="Normal"/>
        <w:numPr>
          <w:ilvl w:val="0"/>
          <w:numId w:val="7"/>
        </w:numPr>
        <w:tabs>
          <w:tab w:val="clear" w:pos="708"/>
          <w:tab w:val="left" w:pos="567" w:leader="none"/>
          <w:tab w:val="left" w:pos="993" w:leader="none"/>
        </w:tabs>
        <w:suppressAutoHyphens w:val="true"/>
        <w:spacing w:lineRule="auto" w:line="240" w:before="0" w:after="0"/>
        <w:ind w:left="720" w:hanging="436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Особенности заполнения формы 3П.</w:t>
      </w:r>
    </w:p>
    <w:p>
      <w:pPr>
        <w:pStyle w:val="Normal"/>
        <w:tabs>
          <w:tab w:val="clear" w:pos="708"/>
          <w:tab w:val="left" w:pos="567" w:leader="none"/>
          <w:tab w:val="left" w:pos="993" w:leader="none"/>
        </w:tabs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u w:val="single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u w:val="single"/>
          <w:lang w:val="en-US" w:eastAsia="ru-RU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u w:val="single"/>
          <w:lang w:eastAsia="ru-RU"/>
        </w:rPr>
        <w:t>Раздел 1. Расчет заработной платы: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  <w:tab w:val="left" w:pos="993" w:leader="none"/>
          <w:tab w:val="left" w:pos="1080" w:leader="none"/>
        </w:tabs>
        <w:suppressAutoHyphens w:val="true"/>
        <w:spacing w:lineRule="auto" w:line="240" w:before="0" w:after="0"/>
        <w:ind w:left="993" w:hanging="426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в графе 1 приводится нумерация выполняемых работ;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  <w:tab w:val="left" w:pos="993" w:leader="none"/>
          <w:tab w:val="left" w:pos="1080" w:leader="none"/>
        </w:tabs>
        <w:suppressAutoHyphens w:val="true"/>
        <w:spacing w:lineRule="auto" w:line="240" w:before="0" w:after="0"/>
        <w:ind w:left="993" w:hanging="426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в графе 2 приводится наименование выполняемых работ;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  <w:tab w:val="left" w:pos="993" w:leader="none"/>
          <w:tab w:val="left" w:pos="1080" w:leader="none"/>
        </w:tabs>
        <w:suppressAutoHyphens w:val="true"/>
        <w:spacing w:lineRule="auto" w:line="240" w:before="0" w:after="0"/>
        <w:ind w:left="993" w:hanging="426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в графе 3 указывается количество привлекаемых работников;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  <w:tab w:val="left" w:pos="993" w:leader="none"/>
          <w:tab w:val="left" w:pos="1080" w:leader="none"/>
        </w:tabs>
        <w:suppressAutoHyphens w:val="true"/>
        <w:spacing w:lineRule="auto" w:line="240" w:before="0" w:after="0"/>
        <w:ind w:left="993" w:hanging="426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в графе 4 указывается наименование должности (при необходимости, с указанием конкретных фамилий) работников, участвующих в выполнении каждой из приведенных работ в графе 2;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  <w:tab w:val="left" w:pos="993" w:leader="none"/>
          <w:tab w:val="left" w:pos="1080" w:leader="none"/>
        </w:tabs>
        <w:suppressAutoHyphens w:val="true"/>
        <w:spacing w:lineRule="auto" w:line="240" w:before="0" w:after="0"/>
        <w:ind w:left="993" w:hanging="426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в графе 5 для каждой должностной группы (при необходимости с указанием конкретных фамилий) работников, участвующих в выполнении данной работы, указывается общее количество рабочих дней, необходимых данной квалификационной группе для её выполнения; рабочее время не должно превышать значений, определенных по временным нормам;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  <w:tab w:val="left" w:pos="993" w:leader="none"/>
          <w:tab w:val="left" w:pos="1080" w:leader="none"/>
        </w:tabs>
        <w:suppressAutoHyphens w:val="true"/>
        <w:spacing w:lineRule="auto" w:line="240" w:before="0" w:after="0"/>
        <w:ind w:left="993" w:hanging="426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в графе 6 приводятся данные по стоимости 1 человеко-дня в рублях по категориям работников. Стоимость 1 человеко-дня непосредственных исполнителей приводится по штатному расписанию основного производственного персонала исходя из установленных в нем окладов, а также выплат стимулирующего и компенсирующего характера, установленных Положением о премировании работников предприятия.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  <w:tab w:val="left" w:pos="993" w:leader="none"/>
          <w:tab w:val="left" w:pos="1080" w:leader="none"/>
        </w:tabs>
        <w:suppressAutoHyphens w:val="true"/>
        <w:spacing w:lineRule="auto" w:line="240" w:before="0" w:after="0"/>
        <w:ind w:left="993" w:hanging="426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в графе 7 указывается заработная плата в рублях (</w:t>
      </w:r>
      <w:r>
        <w:rPr>
          <w:rFonts w:eastAsia="Times New Roman" w:cs="Times New Roman" w:ascii="Times New Roman" w:hAnsi="Times New Roman"/>
          <w:b/>
          <w:sz w:val="24"/>
          <w:szCs w:val="24"/>
          <w:u w:val="single"/>
          <w:lang w:eastAsia="ru-RU"/>
        </w:rPr>
        <w:t>результат перемножения граф 5 и 6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);</w:t>
      </w:r>
    </w:p>
    <w:p>
      <w:pPr>
        <w:pStyle w:val="Normal"/>
        <w:tabs>
          <w:tab w:val="clear" w:pos="708"/>
          <w:tab w:val="left" w:pos="567" w:leader="none"/>
          <w:tab w:val="left" w:pos="993" w:leader="none"/>
        </w:tabs>
        <w:suppressAutoHyphens w:val="true"/>
        <w:spacing w:lineRule="auto" w:line="240" w:before="0" w:after="0"/>
        <w:ind w:firstLine="284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Данные по количеству человек, дней и категорий непосредственных исполнителей, приведенные в графах 3, 4, 5, указываются в соответствии с экспертной оценкой трудоемкости этих работ, выполненных главным инженером проекта, или на базе имеющихся в организации проработок, определяющих нормативы их трудоемкости.</w:t>
      </w:r>
    </w:p>
    <w:p>
      <w:pPr>
        <w:pStyle w:val="Normal"/>
        <w:tabs>
          <w:tab w:val="clear" w:pos="708"/>
          <w:tab w:val="left" w:pos="567" w:leader="none"/>
          <w:tab w:val="left" w:pos="993" w:leader="none"/>
          <w:tab w:val="left" w:pos="1080" w:leader="none"/>
        </w:tabs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u w:val="single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u w:val="single"/>
          <w:lang w:eastAsia="ru-RU"/>
        </w:rPr>
        <w:t>Раздел 2. Расчет стоимости выполнения работ:</w:t>
      </w:r>
    </w:p>
    <w:p>
      <w:pPr>
        <w:pStyle w:val="Normal"/>
        <w:numPr>
          <w:ilvl w:val="0"/>
          <w:numId w:val="5"/>
        </w:numPr>
        <w:tabs>
          <w:tab w:val="clear" w:pos="708"/>
          <w:tab w:val="left" w:pos="567" w:leader="none"/>
          <w:tab w:val="left" w:pos="993" w:leader="none"/>
          <w:tab w:val="left" w:pos="1080" w:leader="none"/>
        </w:tabs>
        <w:suppressAutoHyphens w:val="true"/>
        <w:spacing w:lineRule="auto" w:line="240" w:before="0" w:after="0"/>
        <w:ind w:left="993" w:hanging="426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в пункте 2.1 указывается процент заработной платы производственного персонала в составе себестоимости (</w:t>
      </w:r>
      <w:r>
        <w:rPr>
          <w:rFonts w:eastAsia="Times New Roman" w:cs="Times New Roman" w:ascii="Times New Roman" w:hAnsi="Times New Roman"/>
          <w:b/>
          <w:sz w:val="24"/>
          <w:szCs w:val="24"/>
          <w:u w:val="single"/>
          <w:lang w:eastAsia="ru-RU"/>
        </w:rPr>
        <w:t>без учета субподрядных работ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), находящийся в пределах не менее 30% – уточняется по данным организации в соответствии с бизнес-планом. Данные по оплате труда, процент заработной платы в составе себестоимости, уровень рентабельности организации принимаются в соответствии с плановыми показателями на соответствующий период выполнения работ и утверждаются внутренним документом организации.</w:t>
      </w:r>
    </w:p>
    <w:p>
      <w:pPr>
        <w:pStyle w:val="Normal"/>
        <w:numPr>
          <w:ilvl w:val="0"/>
          <w:numId w:val="5"/>
        </w:numPr>
        <w:tabs>
          <w:tab w:val="clear" w:pos="708"/>
          <w:tab w:val="left" w:pos="567" w:leader="none"/>
          <w:tab w:val="left" w:pos="993" w:leader="none"/>
          <w:tab w:val="left" w:pos="1080" w:leader="none"/>
        </w:tabs>
        <w:suppressAutoHyphens w:val="true"/>
        <w:spacing w:lineRule="auto" w:line="240" w:before="0" w:after="0"/>
        <w:ind w:left="993" w:hanging="426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в пункте 2.2 производится расчет себестоимости работ на основании выполненного в разделе 1 расчета заработной платы и ее процента в составе себестоимости работ (отношение итога графы 7 раздела 1 к пункту 2.1);</w:t>
      </w:r>
    </w:p>
    <w:p>
      <w:pPr>
        <w:pStyle w:val="Normal"/>
        <w:numPr>
          <w:ilvl w:val="0"/>
          <w:numId w:val="5"/>
        </w:numPr>
        <w:tabs>
          <w:tab w:val="clear" w:pos="708"/>
          <w:tab w:val="left" w:pos="567" w:leader="none"/>
          <w:tab w:val="left" w:pos="993" w:leader="none"/>
          <w:tab w:val="left" w:pos="1080" w:leader="none"/>
        </w:tabs>
        <w:suppressAutoHyphens w:val="true"/>
        <w:spacing w:lineRule="auto" w:line="240" w:before="0" w:after="0"/>
        <w:ind w:left="993" w:hanging="426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в пункте 2.3 указывается уровень рентабельности (размер сметной прибыли), принимается по данным организации в соответствии с финансовым планом;</w:t>
      </w:r>
    </w:p>
    <w:p>
      <w:pPr>
        <w:pStyle w:val="Normal"/>
        <w:numPr>
          <w:ilvl w:val="0"/>
          <w:numId w:val="5"/>
        </w:numPr>
        <w:tabs>
          <w:tab w:val="clear" w:pos="708"/>
          <w:tab w:val="left" w:pos="567" w:leader="none"/>
          <w:tab w:val="left" w:pos="993" w:leader="none"/>
          <w:tab w:val="left" w:pos="1080" w:leader="none"/>
        </w:tabs>
        <w:suppressAutoHyphens w:val="true"/>
        <w:spacing w:lineRule="auto" w:line="240" w:before="0" w:after="0"/>
        <w:ind w:left="993" w:hanging="426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уровень рентабельности по отношению к себестоимости может составлять до 15%.</w:t>
      </w:r>
    </w:p>
    <w:p>
      <w:pPr>
        <w:pStyle w:val="Normal"/>
        <w:tabs>
          <w:tab w:val="clear" w:pos="708"/>
          <w:tab w:val="left" w:pos="567" w:leader="none"/>
          <w:tab w:val="left" w:pos="993" w:leader="none"/>
          <w:tab w:val="left" w:pos="1080" w:leader="none"/>
        </w:tabs>
        <w:suppressAutoHyphens w:val="true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К сметной документации необходимо приложить все справочные данные по вышеуказанным экономическим характеристикам предприятия в виде официальной справки (образец в Приложении №1 к пояснительной записке по заполнению формы 3П).</w:t>
      </w:r>
    </w:p>
    <w:p>
      <w:pPr>
        <w:pStyle w:val="Normal"/>
        <w:tabs>
          <w:tab w:val="clear" w:pos="708"/>
          <w:tab w:val="left" w:pos="567" w:leader="none"/>
          <w:tab w:val="left" w:pos="993" w:leader="none"/>
          <w:tab w:val="left" w:pos="1080" w:leader="none"/>
        </w:tabs>
        <w:suppressAutoHyphens w:val="true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sz w:val="24"/>
          <w:szCs w:val="24"/>
          <w:u w:val="single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u w:val="single"/>
          <w:lang w:eastAsia="ru-RU"/>
        </w:rPr>
        <w:t>Раздел 3. Предварительный расчет командировочных расходов.</w:t>
      </w:r>
    </w:p>
    <w:p>
      <w:pPr>
        <w:pStyle w:val="Normal"/>
        <w:tabs>
          <w:tab w:val="clear" w:pos="708"/>
          <w:tab w:val="left" w:pos="567" w:leader="none"/>
          <w:tab w:val="left" w:pos="993" w:leader="none"/>
        </w:tabs>
        <w:suppressAutoHyphens w:val="true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Командировочные расходы включаются в сметный расчет отдельной строкой (пункт 3 формы 3П) по отдельно выполненному предварительному расчету с расшифровкой затрат на проезд, проживание, суточные расходы. Размер расходов на проезд и стоимость проживания в гостинице определяется на момент составления предварительного расчета. Форма расчета приведена в Образце 3П Приложения 2.</w:t>
      </w:r>
    </w:p>
    <w:p>
      <w:pPr>
        <w:pStyle w:val="Normal"/>
        <w:tabs>
          <w:tab w:val="clear" w:pos="708"/>
          <w:tab w:val="left" w:pos="567" w:leader="none"/>
          <w:tab w:val="left" w:pos="993" w:leader="none"/>
          <w:tab w:val="left" w:pos="1080" w:leader="none"/>
        </w:tabs>
        <w:suppressAutoHyphens w:val="true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Размеры возмещения расходов, связанных со служебными командировками, определяются коллективным договором и/или локальным нормативным актом организации–исполнителя, но не выше нормативов возмещения расходов, связанных со служебными командировками, установленных локальным нормативным актом организации–заказчика.</w:t>
      </w:r>
    </w:p>
    <w:p>
      <w:pPr>
        <w:pStyle w:val="Normal"/>
        <w:tabs>
          <w:tab w:val="clear" w:pos="708"/>
          <w:tab w:val="left" w:pos="567" w:leader="none"/>
          <w:tab w:val="left" w:pos="993" w:leader="none"/>
          <w:tab w:val="left" w:pos="1080" w:leader="none"/>
        </w:tabs>
        <w:suppressAutoHyphens w:val="true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Лимиты командировочных расходов при производстве НИР/НИОКР:</w:t>
      </w:r>
    </w:p>
    <w:p>
      <w:pPr>
        <w:pStyle w:val="Normal"/>
        <w:numPr>
          <w:ilvl w:val="0"/>
          <w:numId w:val="6"/>
        </w:numPr>
        <w:tabs>
          <w:tab w:val="clear" w:pos="708"/>
          <w:tab w:val="left" w:pos="567" w:leader="none"/>
          <w:tab w:val="left" w:pos="993" w:leader="none"/>
          <w:tab w:val="left" w:pos="1080" w:leader="none"/>
        </w:tabs>
        <w:suppressAutoHyphens w:val="true"/>
        <w:spacing w:lineRule="auto" w:line="240" w:before="0" w:after="0"/>
        <w:ind w:firstLine="567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суточные-700 руб./сутки;</w:t>
      </w:r>
    </w:p>
    <w:p>
      <w:pPr>
        <w:pStyle w:val="Normal"/>
        <w:numPr>
          <w:ilvl w:val="0"/>
          <w:numId w:val="6"/>
        </w:numPr>
        <w:tabs>
          <w:tab w:val="clear" w:pos="708"/>
          <w:tab w:val="left" w:pos="567" w:leader="none"/>
          <w:tab w:val="left" w:pos="993" w:leader="none"/>
          <w:tab w:val="left" w:pos="1080" w:leader="none"/>
        </w:tabs>
        <w:suppressAutoHyphens w:val="true"/>
        <w:spacing w:lineRule="auto" w:line="240" w:before="0" w:after="0"/>
        <w:ind w:firstLine="567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проживание-3500руб./сутки;</w:t>
      </w:r>
    </w:p>
    <w:p>
      <w:pPr>
        <w:pStyle w:val="Normal"/>
        <w:numPr>
          <w:ilvl w:val="0"/>
          <w:numId w:val="6"/>
        </w:numPr>
        <w:tabs>
          <w:tab w:val="clear" w:pos="708"/>
          <w:tab w:val="left" w:pos="567" w:leader="none"/>
          <w:tab w:val="left" w:pos="993" w:leader="none"/>
          <w:tab w:val="left" w:pos="1080" w:leader="none"/>
        </w:tabs>
        <w:suppressAutoHyphens w:val="true"/>
        <w:spacing w:lineRule="auto" w:line="240" w:before="0" w:after="0"/>
        <w:ind w:firstLine="567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проезд: поезд (купе) или самолет (класс – эконом).</w:t>
      </w:r>
    </w:p>
    <w:p>
      <w:pPr>
        <w:pStyle w:val="Normal"/>
        <w:tabs>
          <w:tab w:val="clear" w:pos="708"/>
          <w:tab w:val="left" w:pos="567" w:leader="none"/>
          <w:tab w:val="left" w:pos="993" w:leader="none"/>
          <w:tab w:val="left" w:pos="1080" w:leader="none"/>
        </w:tabs>
        <w:suppressAutoHyphens w:val="true"/>
        <w:spacing w:lineRule="auto" w:line="240" w:before="0" w:after="0"/>
        <w:ind w:firstLine="567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Данные лимиты могут быть пересмотрены в зависимости от региона расположения объекта работ (по согласованию с ДЗ на этапе заключения договора/дополнительного соглашения, сметчиками филиала при подписании договора на филиале). </w:t>
      </w:r>
    </w:p>
    <w:p>
      <w:pPr>
        <w:sectPr>
          <w:type w:val="nextPage"/>
          <w:pgSz w:w="11906" w:h="16838"/>
          <w:pgMar w:left="1304" w:right="924" w:gutter="0" w:header="0" w:top="709" w:footer="0" w:bottom="720"/>
          <w:pgNumType w:fmt="decimal"/>
          <w:formProt w:val="false"/>
          <w:textDirection w:val="lrTb"/>
          <w:docGrid w:type="default" w:linePitch="360" w:charSpace="4096"/>
        </w:sectPr>
        <w:pStyle w:val="Normal"/>
        <w:tabs>
          <w:tab w:val="clear" w:pos="708"/>
          <w:tab w:val="left" w:pos="567" w:leader="none"/>
          <w:tab w:val="left" w:pos="993" w:leader="none"/>
          <w:tab w:val="left" w:pos="1080" w:leader="none"/>
        </w:tabs>
        <w:suppressAutoHyphens w:val="true"/>
        <w:spacing w:lineRule="auto" w:line="240" w:before="0" w:after="0"/>
        <w:ind w:firstLine="567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Затраты на командировочные расходы по итогам работы должны быть подтверждены соответствующими отчетными документами.</w:t>
      </w:r>
    </w:p>
    <w:p>
      <w:pPr>
        <w:pStyle w:val="Normal"/>
        <w:suppressAutoHyphens w:val="true"/>
        <w:spacing w:lineRule="auto" w:line="240" w:before="0" w:after="0"/>
        <w:contextualSpacing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Приложение к пояснительной записке по заполнению формы 3П</w:t>
      </w:r>
    </w:p>
    <w:p>
      <w:pPr>
        <w:pStyle w:val="Normal"/>
        <w:suppressAutoHyphens w:val="true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</w:r>
    </w:p>
    <w:p>
      <w:pPr>
        <w:pStyle w:val="Normal"/>
        <w:suppressAutoHyphens w:val="true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СПРАВКА (Образец)</w:t>
      </w:r>
    </w:p>
    <w:p>
      <w:pPr>
        <w:pStyle w:val="Normal"/>
        <w:suppressAutoHyphens w:val="tru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Настоящим (Краткое/Полное наименование организации подрядчика/контрагента) сообщает о том, что средняя оплата труда специалистов за рабочий день составляет:</w:t>
      </w:r>
    </w:p>
    <w:p>
      <w:pPr>
        <w:pStyle w:val="Normal"/>
        <w:suppressAutoHyphens w:val="tru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tbl>
      <w:tblPr>
        <w:tblW w:w="8793" w:type="dxa"/>
        <w:jc w:val="left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747"/>
        <w:gridCol w:w="3942"/>
        <w:gridCol w:w="3104"/>
      </w:tblGrid>
      <w:tr>
        <w:trPr>
          <w:trHeight w:val="325" w:hRule="atLeast"/>
        </w:trPr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9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Должность специалиста</w:t>
            </w:r>
          </w:p>
        </w:tc>
        <w:tc>
          <w:tcPr>
            <w:tcW w:w="31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Заработная плата в день, в руб.</w:t>
            </w:r>
          </w:p>
        </w:tc>
      </w:tr>
      <w:tr>
        <w:trPr>
          <w:trHeight w:val="630" w:hRule="atLeast"/>
        </w:trPr>
        <w:tc>
          <w:tcPr>
            <w:tcW w:w="17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(указать должность)</w:t>
            </w:r>
          </w:p>
        </w:tc>
        <w:tc>
          <w:tcPr>
            <w:tcW w:w="310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>
        <w:trPr>
          <w:trHeight w:val="581" w:hRule="atLeast"/>
        </w:trPr>
        <w:tc>
          <w:tcPr>
            <w:tcW w:w="17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(указать должность)</w:t>
            </w:r>
          </w:p>
        </w:tc>
        <w:tc>
          <w:tcPr>
            <w:tcW w:w="310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>
        <w:trPr>
          <w:trHeight w:val="634" w:hRule="atLeast"/>
        </w:trPr>
        <w:tc>
          <w:tcPr>
            <w:tcW w:w="17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(указать должность)</w:t>
            </w:r>
          </w:p>
        </w:tc>
        <w:tc>
          <w:tcPr>
            <w:tcW w:w="310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</w:tbl>
    <w:p>
      <w:pPr>
        <w:pStyle w:val="Normal"/>
        <w:suppressAutoHyphens w:val="tru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ab/>
      </w:r>
    </w:p>
    <w:p>
      <w:pPr>
        <w:pStyle w:val="Normal"/>
        <w:suppressAutoHyphens w:val="tru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Доля заработной платы в себестоимости работ, выполняемых с/с………  (%)</w:t>
        <w:tab/>
        <w:tab/>
        <w:tab/>
        <w:tab/>
        <w:tab/>
      </w:r>
    </w:p>
    <w:p>
      <w:pPr>
        <w:pStyle w:val="Normal"/>
        <w:suppressAutoHyphens w:val="tru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Рентабельность предприятия……………………….. (%)</w:t>
        <w:tab/>
        <w:tab/>
        <w:tab/>
        <w:tab/>
        <w:tab/>
        <w:tab/>
        <w:tab/>
        <w:tab/>
        <w:tab/>
        <w:t xml:space="preserve"> </w:t>
      </w:r>
    </w:p>
    <w:p>
      <w:pPr>
        <w:pStyle w:val="Normal"/>
        <w:suppressAutoHyphens w:val="true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(Должность единоличного исполнительного органа контрагента/подрядчика)</w:t>
        <w:tab/>
        <w:tab/>
      </w:r>
    </w:p>
    <w:p>
      <w:pPr>
        <w:pStyle w:val="Normal"/>
        <w:suppressAutoHyphens w:val="true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(Краткое/Полное наименование организации) ________________ (ФИО)</w:t>
      </w:r>
    </w:p>
    <w:p>
      <w:pPr>
        <w:pStyle w:val="Normal"/>
        <w:suppressAutoHyphens w:val="true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м.п</w:t>
      </w:r>
    </w:p>
    <w:p>
      <w:pPr>
        <w:pStyle w:val="Normal"/>
        <w:suppressAutoHyphens w:val="true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(Главный бухгалтер)</w:t>
      </w:r>
      <w:r>
        <w:rPr>
          <w:rStyle w:val="FootnoteReference"/>
          <w:rFonts w:eastAsia="Times New Roman" w:cs="Times New Roman" w:ascii="Times New Roman" w:hAnsi="Times New Roman"/>
          <w:sz w:val="24"/>
          <w:szCs w:val="24"/>
          <w:vertAlign w:val="superscript"/>
          <w:lang w:eastAsia="ru-RU"/>
        </w:rPr>
        <w:footnoteReference w:id="2"/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ab/>
        <w:tab/>
      </w:r>
    </w:p>
    <w:p>
      <w:pPr>
        <w:pStyle w:val="Normal"/>
        <w:suppressAutoHyphens w:val="true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(Краткое/Полное наименование организации контрагента/подрядчика) _________ (ФИО)</w:t>
      </w:r>
    </w:p>
    <w:p>
      <w:pPr>
        <w:sectPr>
          <w:footnotePr>
            <w:numFmt w:val="decimal"/>
            <w:numRestart w:val="eachPage"/>
          </w:footnotePr>
          <w:type w:val="nextPage"/>
          <w:pgSz w:w="11906" w:h="16838"/>
          <w:pgMar w:left="1304" w:right="924" w:gutter="0" w:header="0" w:top="851" w:footer="0" w:bottom="720"/>
          <w:pgNumType w:fmt="decimal"/>
          <w:formProt w:val="false"/>
          <w:textDirection w:val="lrTb"/>
          <w:docGrid w:type="default" w:linePitch="360" w:charSpace="4096"/>
        </w:sectPr>
        <w:pStyle w:val="Normal"/>
        <w:suppressAutoHyphens w:val="true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м.п</w:t>
      </w:r>
    </w:p>
    <w:p>
      <w:pPr>
        <w:pStyle w:val="Normal"/>
        <w:suppressAutoHyphens w:val="true"/>
        <w:spacing w:before="0" w:after="0"/>
        <w:ind w:left="5670" w:hanging="0"/>
        <w:contextualSpacing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Приложение № 3</w:t>
      </w:r>
    </w:p>
    <w:p>
      <w:pPr>
        <w:pStyle w:val="Normal"/>
        <w:tabs>
          <w:tab w:val="clear" w:pos="708"/>
          <w:tab w:val="left" w:pos="1080" w:leader="none"/>
        </w:tabs>
        <w:suppressAutoHyphens w:val="true"/>
        <w:spacing w:before="0" w:after="0"/>
        <w:ind w:left="5670" w:hanging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к Требованиям к оформлению и составлению смет или расчетов на выполнение услуг по программе НИР/НИОКР</w:t>
      </w:r>
    </w:p>
    <w:p>
      <w:pPr>
        <w:pStyle w:val="Normal"/>
        <w:tabs>
          <w:tab w:val="clear" w:pos="708"/>
          <w:tab w:val="left" w:pos="1080" w:leader="none"/>
        </w:tabs>
        <w:suppressAutoHyphens w:val="true"/>
        <w:spacing w:before="0" w:after="0"/>
        <w:ind w:left="5670" w:hanging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hd w:val="clear" w:color="auto" w:fill="FFFFFF"/>
        <w:suppressAutoHyphens w:val="true"/>
        <w:ind w:firstLine="284"/>
        <w:jc w:val="center"/>
        <w:rPr>
          <w:rFonts w:ascii="Times New Roman" w:hAnsi="Times New Roman" w:eastAsia="Times New Roman" w:cs="Times New Roman"/>
          <w:b/>
          <w:bCs/>
          <w:iCs/>
          <w:spacing w:val="-4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iCs/>
          <w:spacing w:val="-4"/>
          <w:sz w:val="24"/>
          <w:szCs w:val="24"/>
          <w:lang w:eastAsia="ru-RU"/>
        </w:rPr>
        <w:t>Образцы оформления сметной документации на НИР/НИОКР</w:t>
      </w:r>
    </w:p>
    <w:p>
      <w:pPr>
        <w:pStyle w:val="Normal"/>
        <w:shd w:val="clear" w:color="auto" w:fill="FFFFFF"/>
        <w:suppressAutoHyphens w:val="true"/>
        <w:spacing w:before="360" w:after="240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Образец 2П</w:t>
      </w:r>
    </w:p>
    <w:tbl>
      <w:tblPr>
        <w:tblW w:w="929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9290"/>
      </w:tblGrid>
      <w:tr>
        <w:trPr>
          <w:trHeight w:val="11057" w:hRule="atLeast"/>
        </w:trPr>
        <w:tc>
          <w:tcPr>
            <w:tcW w:w="9290" w:type="dxa"/>
            <w:tcBorders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ind w:left="5530" w:hanging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Приложение №…… к договору № от </w:t>
            </w:r>
          </w:p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ind w:left="3829" w:hanging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  <w:tbl>
            <w:tblPr>
              <w:tblW w:w="9074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 w:noVBand="1" w:noHBand="0" w:lastColumn="0" w:firstColumn="1" w:lastRow="0" w:firstRow="1"/>
            </w:tblPr>
            <w:tblGrid>
              <w:gridCol w:w="4286"/>
              <w:gridCol w:w="4787"/>
            </w:tblGrid>
            <w:tr>
              <w:trPr>
                <w:trHeight w:val="417" w:hRule="atLeast"/>
              </w:trPr>
              <w:tc>
                <w:tcPr>
                  <w:tcW w:w="4286" w:type="dxa"/>
                  <w:tcBorders/>
                  <w:vAlign w:val="bottom"/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СОГЛАСОВАНО: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4"/>
                      <w:szCs w:val="24"/>
                      <w:lang w:eastAsia="ru-RU"/>
                    </w:rPr>
                    <w:t>_________________(Подрядчик)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4"/>
                      <w:szCs w:val="24"/>
                      <w:lang w:eastAsia="ru-RU"/>
                    </w:rPr>
                    <w:t>_________________И.О.Ф.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4"/>
                      <w:szCs w:val="24"/>
                      <w:lang w:eastAsia="ru-RU"/>
                    </w:rPr>
                  </w:r>
                </w:p>
              </w:tc>
              <w:tc>
                <w:tcPr>
                  <w:tcW w:w="4787" w:type="dxa"/>
                  <w:tcBorders/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left="1460" w:hanging="0"/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УТВЕРЖДАЮ: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left="1460" w:hanging="0"/>
                    <w:rPr>
                      <w:rFonts w:ascii="Times New Roman" w:hAnsi="Times New Roman" w:eastAsia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bCs/>
                      <w:sz w:val="24"/>
                      <w:szCs w:val="24"/>
                      <w:lang w:eastAsia="ru-RU"/>
                    </w:rPr>
                    <w:t>_________________(Заказчик)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left="1460" w:hanging="0"/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4"/>
                      <w:szCs w:val="24"/>
                      <w:lang w:eastAsia="ru-RU"/>
                    </w:rPr>
                    <w:t>_________________И.О.Ф.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48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СМЕТА № </w:t>
              <w:br/>
              <w:t>на научно-исследовательские работы (НИОКР)</w:t>
            </w:r>
          </w:p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Наименование предприятия, здания, сооружения, стадии проектирования, этапа, вида </w:t>
            </w:r>
          </w:p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НИОКР___________________________________________________________</w:t>
            </w:r>
          </w:p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__________________________________________________________________</w:t>
            </w:r>
          </w:p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Наименование подрядной организации_________________________________</w:t>
            </w:r>
          </w:p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__________________________________________________________________</w:t>
            </w:r>
          </w:p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Наименование организации заказчика__________________________________</w:t>
            </w:r>
          </w:p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__________________________________________________________________</w:t>
            </w:r>
          </w:p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руб.</w:t>
            </w:r>
          </w:p>
          <w:tbl>
            <w:tblPr>
              <w:tblW w:w="5000" w:type="pct"/>
              <w:jc w:val="center"/>
              <w:tblInd w:w="0" w:type="dxa"/>
              <w:tblLayout w:type="fixed"/>
              <w:tblCellMar>
                <w:top w:w="0" w:type="dxa"/>
                <w:left w:w="28" w:type="dxa"/>
                <w:bottom w:w="0" w:type="dxa"/>
                <w:right w:w="28" w:type="dxa"/>
              </w:tblCellMar>
              <w:tblLook w:val="04a0" w:noVBand="1" w:noHBand="0" w:lastColumn="0" w:firstColumn="1" w:lastRow="0" w:firstRow="1"/>
            </w:tblPr>
            <w:tblGrid>
              <w:gridCol w:w="341"/>
              <w:gridCol w:w="2222"/>
              <w:gridCol w:w="3217"/>
              <w:gridCol w:w="2127"/>
              <w:gridCol w:w="1167"/>
            </w:tblGrid>
            <w:tr>
              <w:trPr>
                <w:tblHeader w:val="true"/>
              </w:trPr>
              <w:tc>
                <w:tcPr>
                  <w:tcW w:w="341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2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suppressAutoHyphens w:val="true"/>
                    <w:spacing w:before="0" w:after="0"/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4"/>
                      <w:szCs w:val="24"/>
                      <w:lang w:eastAsia="ru-RU"/>
                    </w:rPr>
                    <w:t xml:space="preserve">№ </w:t>
                  </w:r>
                  <w:r>
                    <w:rPr>
                      <w:rFonts w:eastAsia="Times New Roman" w:cs="Times New Roman" w:ascii="Times New Roman" w:hAnsi="Times New Roman"/>
                      <w:sz w:val="24"/>
                      <w:szCs w:val="24"/>
                      <w:lang w:eastAsia="ru-RU"/>
                    </w:rPr>
                    <w:t>пп</w:t>
                  </w:r>
                </w:p>
              </w:tc>
              <w:tc>
                <w:tcPr>
                  <w:tcW w:w="2222" w:type="dxa"/>
                  <w:vMerge w:val="restart"/>
                  <w:tcBorders>
                    <w:top w:val="single" w:sz="6" w:space="0" w:color="000000"/>
                    <w:left w:val="single" w:sz="2" w:space="0" w:color="000000"/>
                    <w:bottom w:val="single" w:sz="6" w:space="0" w:color="000000"/>
                    <w:right w:val="single" w:sz="2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suppressAutoHyphens w:val="true"/>
                    <w:spacing w:before="0" w:after="0"/>
                    <w:jc w:val="center"/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4"/>
                      <w:szCs w:val="24"/>
                      <w:lang w:eastAsia="ru-RU"/>
                    </w:rPr>
                    <w:t>Характеристика предприятия, здания, сооружения или виды работ</w:t>
                  </w:r>
                </w:p>
              </w:tc>
              <w:tc>
                <w:tcPr>
                  <w:tcW w:w="3217" w:type="dxa"/>
                  <w:vMerge w:val="restart"/>
                  <w:tcBorders>
                    <w:top w:val="single" w:sz="6" w:space="0" w:color="000000"/>
                    <w:left w:val="single" w:sz="2" w:space="0" w:color="000000"/>
                    <w:bottom w:val="single" w:sz="6" w:space="0" w:color="000000"/>
                    <w:right w:val="single" w:sz="2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suppressAutoHyphens w:val="true"/>
                    <w:spacing w:before="0" w:after="0"/>
                    <w:jc w:val="center"/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4"/>
                      <w:szCs w:val="24"/>
                      <w:lang w:eastAsia="ru-RU"/>
                    </w:rPr>
                    <w:t>Номер частей, глав, таблиц, процентов, параграфов и пунктов указаний к разделу Справочника базовых цен на проектные и изыскательские работы для строительства</w:t>
                  </w:r>
                </w:p>
              </w:tc>
              <w:tc>
                <w:tcPr>
                  <w:tcW w:w="2127" w:type="dxa"/>
                  <w:tcBorders>
                    <w:top w:val="single" w:sz="6" w:space="0" w:color="000000"/>
                    <w:left w:val="single" w:sz="2" w:space="0" w:color="000000"/>
                    <w:bottom w:val="single" w:sz="2" w:space="0" w:color="000000"/>
                    <w:right w:val="single" w:sz="6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suppressAutoHyphens w:val="true"/>
                    <w:spacing w:before="0" w:after="0"/>
                    <w:jc w:val="center"/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4"/>
                      <w:szCs w:val="24"/>
                      <w:lang w:eastAsia="ru-RU"/>
                    </w:rPr>
                    <w:t xml:space="preserve">Расчет стоимости: (a + bx) </w:t>
                  </w:r>
                  <w:r>
                    <w:rPr>
                      <w:rFonts w:eastAsia="Symbol" w:cs="Symbol" w:ascii="Symbol" w:hAnsi="Symbol"/>
                      <w:sz w:val="24"/>
                      <w:szCs w:val="24"/>
                      <w:lang w:eastAsia="ru-RU"/>
                    </w:rPr>
                    <w:sym w:font="Symbol" w:char="f0b4"/>
                  </w:r>
                  <w:r>
                    <w:rPr>
                      <w:rFonts w:eastAsia="Times New Roman" w:cs="Times New Roman" w:ascii="Times New Roman" w:hAnsi="Times New Roman"/>
                      <w:sz w:val="24"/>
                      <w:szCs w:val="24"/>
                      <w:lang w:eastAsia="ru-RU"/>
                    </w:rPr>
                    <w:t xml:space="preserve"> K</w:t>
                  </w:r>
                  <w:r>
                    <w:rPr>
                      <w:rFonts w:eastAsia="Times New Roman" w:cs="Times New Roman" w:ascii="Times New Roman" w:hAnsi="Times New Roman"/>
                      <w:sz w:val="24"/>
                      <w:szCs w:val="24"/>
                      <w:vertAlign w:val="subscript"/>
                      <w:lang w:eastAsia="ru-RU"/>
                    </w:rPr>
                    <w:t>i</w:t>
                  </w:r>
                  <w:r>
                    <w:rPr>
                      <w:rFonts w:eastAsia="Times New Roman" w:cs="Times New Roman" w:ascii="Times New Roman" w:hAnsi="Times New Roman"/>
                      <w:sz w:val="24"/>
                      <w:szCs w:val="24"/>
                      <w:lang w:eastAsia="ru-RU"/>
                    </w:rPr>
                    <w:t xml:space="preserve">, или (объем строительно-монтажных работ) </w:t>
                  </w:r>
                  <w:r>
                    <w:rPr>
                      <w:rFonts w:eastAsia="Symbol" w:cs="Symbol" w:ascii="Symbol" w:hAnsi="Symbol"/>
                      <w:sz w:val="24"/>
                      <w:szCs w:val="24"/>
                      <w:lang w:eastAsia="ru-RU"/>
                    </w:rPr>
                    <w:sym w:font="Symbol" w:char="f0b4"/>
                  </w:r>
                  <w:r>
                    <w:rPr>
                      <w:rFonts w:eastAsia="Times New Roman" w:cs="Times New Roman" w:ascii="Times New Roman" w:hAnsi="Times New Roman"/>
                      <w:sz w:val="24"/>
                      <w:szCs w:val="24"/>
                      <w:lang w:eastAsia="ru-RU"/>
                    </w:rPr>
                    <w:t xml:space="preserve"> проц.</w:t>
                  </w:r>
                </w:p>
              </w:tc>
              <w:tc>
                <w:tcPr>
                  <w:tcW w:w="1167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suppressAutoHyphens w:val="true"/>
                    <w:spacing w:before="0" w:after="0"/>
                    <w:jc w:val="center"/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4"/>
                      <w:szCs w:val="24"/>
                      <w:lang w:eastAsia="ru-RU"/>
                    </w:rPr>
                    <w:t>Стоимость</w:t>
                  </w:r>
                </w:p>
              </w:tc>
            </w:tr>
            <w:tr>
              <w:trPr>
                <w:tblHeader w:val="true"/>
              </w:trPr>
              <w:tc>
                <w:tcPr>
                  <w:tcW w:w="341" w:type="dxa"/>
                  <w:vMerge w:val="continue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2" w:space="0" w:color="000000"/>
                  </w:tcBorders>
                  <w:shd w:color="auto" w:fill="FFFFFF" w:val="clear"/>
                  <w:tcMar>
                    <w:left w:w="7" w:type="dxa"/>
                    <w:right w:w="2" w:type="dxa"/>
                  </w:tcMar>
                  <w:vAlign w:val="center"/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4"/>
                      <w:szCs w:val="24"/>
                      <w:lang w:eastAsia="ru-RU"/>
                    </w:rPr>
                  </w:r>
                </w:p>
              </w:tc>
              <w:tc>
                <w:tcPr>
                  <w:tcW w:w="2222" w:type="dxa"/>
                  <w:vMerge w:val="continue"/>
                  <w:tcBorders>
                    <w:top w:val="single" w:sz="6" w:space="0" w:color="000000"/>
                    <w:left w:val="single" w:sz="2" w:space="0" w:color="000000"/>
                    <w:bottom w:val="single" w:sz="6" w:space="0" w:color="000000"/>
                    <w:right w:val="single" w:sz="2" w:space="0" w:color="000000"/>
                  </w:tcBorders>
                  <w:shd w:color="auto" w:fill="FFFFFF" w:val="clear"/>
                  <w:tcMar>
                    <w:left w:w="7" w:type="dxa"/>
                    <w:right w:w="2" w:type="dxa"/>
                  </w:tcMar>
                  <w:vAlign w:val="center"/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4"/>
                      <w:szCs w:val="24"/>
                      <w:lang w:eastAsia="ru-RU"/>
                    </w:rPr>
                  </w:r>
                </w:p>
              </w:tc>
              <w:tc>
                <w:tcPr>
                  <w:tcW w:w="3217" w:type="dxa"/>
                  <w:vMerge w:val="continue"/>
                  <w:tcBorders>
                    <w:top w:val="single" w:sz="6" w:space="0" w:color="000000"/>
                    <w:left w:val="single" w:sz="2" w:space="0" w:color="000000"/>
                    <w:bottom w:val="single" w:sz="6" w:space="0" w:color="000000"/>
                    <w:right w:val="single" w:sz="2" w:space="0" w:color="000000"/>
                  </w:tcBorders>
                  <w:shd w:color="auto" w:fill="FFFFFF" w:val="clear"/>
                  <w:tcMar>
                    <w:left w:w="7" w:type="dxa"/>
                    <w:right w:w="2" w:type="dxa"/>
                  </w:tcMar>
                  <w:vAlign w:val="center"/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4"/>
                      <w:szCs w:val="24"/>
                      <w:lang w:eastAsia="ru-RU"/>
                    </w:rPr>
                  </w:r>
                </w:p>
              </w:tc>
              <w:tc>
                <w:tcPr>
                  <w:tcW w:w="2127" w:type="dxa"/>
                  <w:tcBorders>
                    <w:top w:val="single" w:sz="2" w:space="0" w:color="000000"/>
                    <w:left w:val="single" w:sz="2" w:space="0" w:color="000000"/>
                    <w:bottom w:val="single" w:sz="6" w:space="0" w:color="000000"/>
                    <w:right w:val="single" w:sz="6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suppressAutoHyphens w:val="true"/>
                    <w:spacing w:before="0" w:after="0"/>
                    <w:jc w:val="center"/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4"/>
                      <w:szCs w:val="24"/>
                      <w:lang w:eastAsia="ru-RU"/>
                    </w:rPr>
                    <w:t>100</w:t>
                  </w:r>
                </w:p>
                <w:p>
                  <w:pPr>
                    <w:pStyle w:val="Normal"/>
                    <w:widowControl w:val="false"/>
                    <w:shd w:val="clear" w:color="auto" w:fill="FFFFFF"/>
                    <w:suppressAutoHyphens w:val="true"/>
                    <w:spacing w:before="0" w:after="0"/>
                    <w:jc w:val="center"/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4"/>
                      <w:szCs w:val="24"/>
                      <w:lang w:eastAsia="ru-RU"/>
                    </w:rPr>
                    <w:t>или</w:t>
                  </w:r>
                </w:p>
                <w:p>
                  <w:pPr>
                    <w:pStyle w:val="Normal"/>
                    <w:widowControl w:val="false"/>
                    <w:shd w:val="clear" w:color="auto" w:fill="FFFFFF"/>
                    <w:suppressAutoHyphens w:val="true"/>
                    <w:spacing w:before="0" w:after="0"/>
                    <w:jc w:val="center"/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4"/>
                      <w:szCs w:val="24"/>
                      <w:lang w:eastAsia="ru-RU"/>
                    </w:rPr>
                    <w:t xml:space="preserve">количество </w:t>
                  </w:r>
                  <w:r>
                    <w:rPr>
                      <w:rFonts w:eastAsia="Symbol" w:cs="Symbol" w:ascii="Symbol" w:hAnsi="Symbol"/>
                      <w:sz w:val="24"/>
                      <w:szCs w:val="24"/>
                      <w:lang w:eastAsia="ru-RU"/>
                    </w:rPr>
                    <w:sym w:font="Symbol" w:char="f0b4"/>
                  </w:r>
                  <w:r>
                    <w:rPr>
                      <w:rFonts w:eastAsia="Times New Roman" w:cs="Times New Roman" w:ascii="Times New Roman" w:hAnsi="Times New Roman"/>
                      <w:sz w:val="24"/>
                      <w:szCs w:val="24"/>
                      <w:lang w:eastAsia="ru-RU"/>
                    </w:rPr>
                    <w:t xml:space="preserve"> цена</w:t>
                  </w:r>
                </w:p>
              </w:tc>
              <w:tc>
                <w:tcPr>
                  <w:tcW w:w="1167" w:type="dxa"/>
                  <w:vMerge w:val="continue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color="auto" w:fill="FFFFFF" w:val="clear"/>
                  <w:tcMar>
                    <w:left w:w="7" w:type="dxa"/>
                    <w:right w:w="2" w:type="dxa"/>
                  </w:tcMar>
                  <w:vAlign w:val="center"/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center"/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4"/>
                      <w:szCs w:val="24"/>
                      <w:lang w:eastAsia="ru-RU"/>
                    </w:rPr>
                  </w:r>
                </w:p>
              </w:tc>
            </w:tr>
            <w:tr>
              <w:trPr>
                <w:tblHeader w:val="true"/>
              </w:trPr>
              <w:tc>
                <w:tcPr>
                  <w:tcW w:w="34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2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suppressAutoHyphens w:val="true"/>
                    <w:spacing w:before="0" w:after="0"/>
                    <w:jc w:val="center"/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2222" w:type="dxa"/>
                  <w:tcBorders>
                    <w:top w:val="single" w:sz="6" w:space="0" w:color="000000"/>
                    <w:left w:val="single" w:sz="2" w:space="0" w:color="000000"/>
                    <w:bottom w:val="single" w:sz="6" w:space="0" w:color="000000"/>
                    <w:right w:val="single" w:sz="2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suppressAutoHyphens w:val="true"/>
                    <w:spacing w:before="0" w:after="0"/>
                    <w:jc w:val="center"/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3217" w:type="dxa"/>
                  <w:tcBorders>
                    <w:top w:val="single" w:sz="6" w:space="0" w:color="000000"/>
                    <w:left w:val="single" w:sz="2" w:space="0" w:color="000000"/>
                    <w:bottom w:val="single" w:sz="6" w:space="0" w:color="000000"/>
                    <w:right w:val="single" w:sz="2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suppressAutoHyphens w:val="true"/>
                    <w:spacing w:before="0" w:after="0"/>
                    <w:jc w:val="center"/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2127" w:type="dxa"/>
                  <w:tcBorders>
                    <w:top w:val="single" w:sz="6" w:space="0" w:color="000000"/>
                    <w:left w:val="single" w:sz="2" w:space="0" w:color="000000"/>
                    <w:bottom w:val="single" w:sz="6" w:space="0" w:color="000000"/>
                    <w:right w:val="single" w:sz="6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suppressAutoHyphens w:val="true"/>
                    <w:spacing w:before="0" w:after="0"/>
                    <w:jc w:val="center"/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11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suppressAutoHyphens w:val="true"/>
                    <w:spacing w:before="0" w:after="0"/>
                    <w:jc w:val="center"/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</w:tr>
            <w:tr>
              <w:trPr/>
              <w:tc>
                <w:tcPr>
                  <w:tcW w:w="341" w:type="dxa"/>
                  <w:tcBorders>
                    <w:top w:val="single" w:sz="6" w:space="0" w:color="000000"/>
                    <w:left w:val="single" w:sz="6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suppressAutoHyphens w:val="true"/>
                    <w:spacing w:before="0" w:after="0"/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222" w:type="dxa"/>
                  <w:tcBorders>
                    <w:top w:val="single" w:sz="6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suppressAutoHyphens w:val="true"/>
                    <w:spacing w:before="0" w:after="0"/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217" w:type="dxa"/>
                  <w:tcBorders>
                    <w:top w:val="single" w:sz="6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suppressAutoHyphens w:val="true"/>
                    <w:spacing w:before="0" w:after="0"/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127" w:type="dxa"/>
                  <w:tcBorders>
                    <w:top w:val="single" w:sz="6" w:space="0" w:color="000000"/>
                    <w:left w:val="single" w:sz="2" w:space="0" w:color="000000"/>
                    <w:bottom w:val="single" w:sz="2" w:space="0" w:color="000000"/>
                    <w:right w:val="single" w:sz="6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suppressAutoHyphens w:val="true"/>
                    <w:spacing w:before="0" w:after="0"/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67" w:type="dxa"/>
                  <w:tcBorders>
                    <w:top w:val="single" w:sz="6" w:space="0" w:color="000000"/>
                    <w:left w:val="single" w:sz="6" w:space="0" w:color="000000"/>
                    <w:bottom w:val="single" w:sz="2" w:space="0" w:color="000000"/>
                    <w:right w:val="single" w:sz="6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suppressAutoHyphens w:val="true"/>
                    <w:spacing w:before="0" w:after="0"/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>
              <w:trPr/>
              <w:tc>
                <w:tcPr>
                  <w:tcW w:w="341" w:type="dxa"/>
                  <w:tcBorders>
                    <w:top w:val="single" w:sz="2" w:space="0" w:color="000000"/>
                    <w:left w:val="single" w:sz="6" w:space="0" w:color="000000"/>
                    <w:bottom w:val="single" w:sz="6" w:space="0" w:color="000000"/>
                    <w:right w:val="single" w:sz="2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suppressAutoHyphens w:val="true"/>
                    <w:spacing w:before="0" w:after="0"/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222" w:type="dxa"/>
                  <w:tcBorders>
                    <w:top w:val="single" w:sz="2" w:space="0" w:color="000000"/>
                    <w:left w:val="single" w:sz="2" w:space="0" w:color="000000"/>
                    <w:bottom w:val="single" w:sz="6" w:space="0" w:color="000000"/>
                    <w:right w:val="single" w:sz="2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suppressAutoHyphens w:val="true"/>
                    <w:spacing w:before="0" w:after="0"/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217" w:type="dxa"/>
                  <w:tcBorders>
                    <w:top w:val="single" w:sz="2" w:space="0" w:color="000000"/>
                    <w:left w:val="single" w:sz="2" w:space="0" w:color="000000"/>
                    <w:bottom w:val="single" w:sz="6" w:space="0" w:color="000000"/>
                    <w:right w:val="single" w:sz="2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suppressAutoHyphens w:val="true"/>
                    <w:spacing w:before="0" w:after="0"/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127" w:type="dxa"/>
                  <w:tcBorders>
                    <w:top w:val="single" w:sz="2" w:space="0" w:color="000000"/>
                    <w:left w:val="single" w:sz="2" w:space="0" w:color="000000"/>
                    <w:bottom w:val="single" w:sz="6" w:space="0" w:color="000000"/>
                    <w:right w:val="single" w:sz="6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suppressAutoHyphens w:val="true"/>
                    <w:spacing w:before="0" w:after="0"/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67" w:type="dxa"/>
                  <w:tcBorders>
                    <w:top w:val="single" w:sz="2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suppressAutoHyphens w:val="true"/>
                    <w:spacing w:before="0" w:after="0"/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</w:tbl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Составил:            /должность, организация/                                                         /подпись/  </w:t>
            </w:r>
          </w:p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/расшифровка подписи/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Проверил:            /должность, организация/                                                         /подпись/  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/расшифровка подписи/</w:t>
            </w:r>
          </w:p>
        </w:tc>
      </w:tr>
      <w:tr>
        <w:trPr/>
        <w:tc>
          <w:tcPr>
            <w:tcW w:w="929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</w:tbl>
    <w:p>
      <w:pPr>
        <w:sectPr>
          <w:footnotePr>
            <w:numFmt w:val="decimal"/>
            <w:numRestart w:val="eachPage"/>
          </w:footnotePr>
          <w:type w:val="nextPage"/>
          <w:pgSz w:w="11906" w:h="16838"/>
          <w:pgMar w:left="1701" w:right="851" w:gutter="0" w:header="0" w:top="1134" w:footer="0" w:bottom="1134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Normal"/>
        <w:shd w:val="clear" w:color="auto" w:fill="FFFFFF"/>
        <w:suppressAutoHyphens w:val="true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Образец 3п</w:t>
      </w:r>
    </w:p>
    <w:p>
      <w:pPr>
        <w:pStyle w:val="Normal"/>
        <w:shd w:val="clear" w:color="auto" w:fill="FFFFFF"/>
        <w:suppressAutoHyphens w:val="true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tbl>
      <w:tblPr>
        <w:tblW w:w="929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9290"/>
      </w:tblGrid>
      <w:tr>
        <w:trPr>
          <w:trHeight w:val="13517" w:hRule="atLeast"/>
        </w:trPr>
        <w:tc>
          <w:tcPr>
            <w:tcW w:w="9290" w:type="dxa"/>
            <w:tcBorders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ind w:left="2695" w:hanging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Приложение №_____к договору, дополнительному соглашению</w:t>
            </w:r>
          </w:p>
          <w:tbl>
            <w:tblPr>
              <w:tblW w:w="9074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 w:noVBand="1" w:noHBand="0" w:lastColumn="0" w:firstColumn="1" w:lastRow="0" w:firstRow="1"/>
            </w:tblPr>
            <w:tblGrid>
              <w:gridCol w:w="4407"/>
              <w:gridCol w:w="4666"/>
            </w:tblGrid>
            <w:tr>
              <w:trPr>
                <w:trHeight w:val="417" w:hRule="atLeast"/>
              </w:trPr>
              <w:tc>
                <w:tcPr>
                  <w:tcW w:w="4407" w:type="dxa"/>
                  <w:tcBorders/>
                  <w:vAlign w:val="bottom"/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СОГЛАСОВАНО: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4"/>
                      <w:szCs w:val="24"/>
                      <w:lang w:eastAsia="ru-RU"/>
                    </w:rPr>
                    <w:t>_________________ (Подрядчик)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4"/>
                      <w:szCs w:val="24"/>
                      <w:lang w:eastAsia="ru-RU"/>
                    </w:rPr>
                    <w:t>_________________ И.О.Ф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4"/>
                      <w:szCs w:val="24"/>
                      <w:lang w:eastAsia="ru-RU"/>
                    </w:rPr>
                  </w:r>
                </w:p>
              </w:tc>
              <w:tc>
                <w:tcPr>
                  <w:tcW w:w="4666" w:type="dxa"/>
                  <w:tcBorders/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left="1602" w:hanging="0"/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УТВЕРЖДАЮ: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left="1460" w:hanging="0"/>
                    <w:rPr>
                      <w:rFonts w:ascii="Times New Roman" w:hAnsi="Times New Roman" w:eastAsia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bCs/>
                      <w:sz w:val="24"/>
                      <w:szCs w:val="24"/>
                      <w:lang w:eastAsia="ru-RU"/>
                    </w:rPr>
                    <w:t>________________(Заказчик)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left="1602" w:hanging="0"/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4"/>
                      <w:szCs w:val="24"/>
                      <w:lang w:eastAsia="ru-RU"/>
                    </w:rPr>
                    <w:t>_________________И.О.Ф.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48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СМЕТА № </w:t>
              <w:br/>
              <w:t>на научно-исследовательские работы (НИОКР)</w:t>
            </w:r>
          </w:p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48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Наименование предприятия, здания, сооружения, стадии проектирования, этапа, вида</w:t>
            </w:r>
          </w:p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НИОКР___________________________________________________________</w:t>
            </w:r>
          </w:p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__________________________________________________________________</w:t>
            </w:r>
          </w:p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Наименование организации__________________________________________</w:t>
            </w:r>
          </w:p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__________________________________________________________________</w:t>
            </w:r>
          </w:p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Наименование организации заказчика_________________________________</w:t>
            </w:r>
          </w:p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__________________________________________________________________</w:t>
            </w:r>
          </w:p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24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1. Расчет заработной платы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ab/>
              <w:tab/>
              <w:tab/>
              <w:tab/>
              <w:tab/>
              <w:tab/>
              <w:tab/>
              <w:tab/>
              <w:t>руб.</w:t>
            </w:r>
          </w:p>
          <w:tbl>
            <w:tblPr>
              <w:tblW w:w="5000" w:type="pct"/>
              <w:jc w:val="center"/>
              <w:tblInd w:w="0" w:type="dxa"/>
              <w:tblLayout w:type="fixed"/>
              <w:tblCellMar>
                <w:top w:w="0" w:type="dxa"/>
                <w:left w:w="28" w:type="dxa"/>
                <w:bottom w:w="0" w:type="dxa"/>
                <w:right w:w="28" w:type="dxa"/>
              </w:tblCellMar>
              <w:tblLook w:val="04a0" w:noVBand="1" w:noHBand="0" w:lastColumn="0" w:firstColumn="1" w:lastRow="0" w:firstRow="1"/>
            </w:tblPr>
            <w:tblGrid>
              <w:gridCol w:w="430"/>
              <w:gridCol w:w="2222"/>
              <w:gridCol w:w="1216"/>
              <w:gridCol w:w="1154"/>
              <w:gridCol w:w="1259"/>
              <w:gridCol w:w="1109"/>
              <w:gridCol w:w="1683"/>
            </w:tblGrid>
            <w:tr>
              <w:trPr>
                <w:tblHeader w:val="true"/>
              </w:trPr>
              <w:tc>
                <w:tcPr>
                  <w:tcW w:w="43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2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suppressAutoHyphens w:val="true"/>
                    <w:spacing w:before="0" w:after="0"/>
                    <w:jc w:val="center"/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4"/>
                      <w:szCs w:val="24"/>
                      <w:lang w:eastAsia="ru-RU"/>
                    </w:rPr>
                    <w:t xml:space="preserve">№ </w:t>
                  </w:r>
                  <w:r>
                    <w:rPr>
                      <w:rFonts w:eastAsia="Times New Roman" w:cs="Times New Roman" w:ascii="Times New Roman" w:hAnsi="Times New Roman"/>
                      <w:sz w:val="24"/>
                      <w:szCs w:val="24"/>
                      <w:lang w:eastAsia="ru-RU"/>
                    </w:rPr>
                    <w:t>п.п.</w:t>
                  </w:r>
                </w:p>
              </w:tc>
              <w:tc>
                <w:tcPr>
                  <w:tcW w:w="2222" w:type="dxa"/>
                  <w:vMerge w:val="restart"/>
                  <w:tcBorders>
                    <w:top w:val="single" w:sz="6" w:space="0" w:color="000000"/>
                    <w:left w:val="single" w:sz="2" w:space="0" w:color="000000"/>
                    <w:bottom w:val="single" w:sz="6" w:space="0" w:color="000000"/>
                    <w:right w:val="single" w:sz="2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suppressAutoHyphens w:val="true"/>
                    <w:spacing w:before="0" w:after="0"/>
                    <w:jc w:val="center"/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4"/>
                      <w:szCs w:val="24"/>
                      <w:lang w:eastAsia="ru-RU"/>
                    </w:rPr>
                    <w:t>Перечень выполняемых работ</w:t>
                  </w:r>
                </w:p>
              </w:tc>
              <w:tc>
                <w:tcPr>
                  <w:tcW w:w="2370" w:type="dxa"/>
                  <w:gridSpan w:val="2"/>
                  <w:tcBorders>
                    <w:top w:val="single" w:sz="6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suppressAutoHyphens w:val="true"/>
                    <w:spacing w:before="0" w:after="0"/>
                    <w:jc w:val="center"/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4"/>
                      <w:szCs w:val="24"/>
                      <w:lang w:eastAsia="ru-RU"/>
                    </w:rPr>
                    <w:t>Исполнители</w:t>
                  </w:r>
                </w:p>
              </w:tc>
              <w:tc>
                <w:tcPr>
                  <w:tcW w:w="1259" w:type="dxa"/>
                  <w:vMerge w:val="restart"/>
                  <w:tcBorders>
                    <w:top w:val="single" w:sz="6" w:space="0" w:color="000000"/>
                    <w:left w:val="single" w:sz="2" w:space="0" w:color="000000"/>
                    <w:bottom w:val="single" w:sz="6" w:space="0" w:color="000000"/>
                    <w:right w:val="single" w:sz="6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suppressAutoHyphens w:val="true"/>
                    <w:spacing w:before="0" w:after="0"/>
                    <w:jc w:val="center"/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4"/>
                      <w:szCs w:val="24"/>
                      <w:lang w:eastAsia="ru-RU"/>
                    </w:rPr>
                    <w:t>Количество человеко-дней</w:t>
                  </w:r>
                </w:p>
              </w:tc>
              <w:tc>
                <w:tcPr>
                  <w:tcW w:w="110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2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suppressAutoHyphens w:val="true"/>
                    <w:spacing w:before="0" w:after="0"/>
                    <w:jc w:val="center"/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4"/>
                      <w:szCs w:val="24"/>
                      <w:lang w:eastAsia="ru-RU"/>
                    </w:rPr>
                    <w:t>Средняя оплата труда</w:t>
                  </w:r>
                </w:p>
                <w:p>
                  <w:pPr>
                    <w:pStyle w:val="Normal"/>
                    <w:widowControl w:val="false"/>
                    <w:shd w:val="clear" w:color="auto" w:fill="FFFFFF"/>
                    <w:suppressAutoHyphens w:val="true"/>
                    <w:spacing w:before="0" w:after="0"/>
                    <w:jc w:val="center"/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eastAsia="Times New Roman" w:cs="Times New Roman" w:ascii="Times New Roman" w:hAnsi="Times New Roman"/>
                      <w:sz w:val="24"/>
                      <w:szCs w:val="24"/>
                      <w:lang w:eastAsia="ru-RU"/>
                    </w:rPr>
                    <w:t>за 1 день</w:t>
                  </w:r>
                </w:p>
              </w:tc>
              <w:tc>
                <w:tcPr>
                  <w:tcW w:w="1683" w:type="dxa"/>
                  <w:vMerge w:val="restart"/>
                  <w:tcBorders>
                    <w:top w:val="single" w:sz="6" w:space="0" w:color="000000"/>
                    <w:left w:val="single" w:sz="2" w:space="0" w:color="000000"/>
                    <w:bottom w:val="single" w:sz="6" w:space="0" w:color="000000"/>
                    <w:right w:val="single" w:sz="6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suppressAutoHyphens w:val="true"/>
                    <w:spacing w:before="0" w:after="0"/>
                    <w:jc w:val="center"/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4"/>
                      <w:szCs w:val="24"/>
                      <w:lang w:eastAsia="ru-RU"/>
                    </w:rPr>
                    <w:t>Оплата труда (всего)</w:t>
                  </w:r>
                </w:p>
              </w:tc>
            </w:tr>
            <w:tr>
              <w:trPr>
                <w:tblHeader w:val="true"/>
              </w:trPr>
              <w:tc>
                <w:tcPr>
                  <w:tcW w:w="430" w:type="dxa"/>
                  <w:vMerge w:val="continue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2" w:space="0" w:color="000000"/>
                  </w:tcBorders>
                  <w:shd w:color="auto" w:fill="FFFFFF" w:val="clear"/>
                  <w:tcMar>
                    <w:left w:w="7" w:type="dxa"/>
                    <w:right w:w="2" w:type="dxa"/>
                  </w:tcMar>
                  <w:vAlign w:val="center"/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4"/>
                      <w:szCs w:val="24"/>
                      <w:lang w:eastAsia="ru-RU"/>
                    </w:rPr>
                  </w:r>
                </w:p>
              </w:tc>
              <w:tc>
                <w:tcPr>
                  <w:tcW w:w="2222" w:type="dxa"/>
                  <w:vMerge w:val="continue"/>
                  <w:tcBorders>
                    <w:top w:val="single" w:sz="6" w:space="0" w:color="000000"/>
                    <w:left w:val="single" w:sz="2" w:space="0" w:color="000000"/>
                    <w:bottom w:val="single" w:sz="6" w:space="0" w:color="000000"/>
                    <w:right w:val="single" w:sz="2" w:space="0" w:color="000000"/>
                  </w:tcBorders>
                  <w:shd w:color="auto" w:fill="FFFFFF" w:val="clear"/>
                  <w:tcMar>
                    <w:left w:w="7" w:type="dxa"/>
                    <w:right w:w="2" w:type="dxa"/>
                  </w:tcMar>
                  <w:vAlign w:val="center"/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4"/>
                      <w:szCs w:val="24"/>
                      <w:lang w:eastAsia="ru-RU"/>
                    </w:rPr>
                  </w:r>
                </w:p>
              </w:tc>
              <w:tc>
                <w:tcPr>
                  <w:tcW w:w="1216" w:type="dxa"/>
                  <w:tcBorders>
                    <w:top w:val="single" w:sz="2" w:space="0" w:color="000000"/>
                    <w:left w:val="single" w:sz="2" w:space="0" w:color="000000"/>
                    <w:bottom w:val="single" w:sz="6" w:space="0" w:color="000000"/>
                    <w:right w:val="single" w:sz="2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suppressAutoHyphens w:val="true"/>
                    <w:spacing w:before="0" w:after="0"/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4"/>
                      <w:szCs w:val="24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6" w:space="0" w:color="000000"/>
                    <w:right w:val="single" w:sz="2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suppressAutoHyphens w:val="true"/>
                    <w:spacing w:before="0" w:after="0"/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4"/>
                      <w:szCs w:val="24"/>
                      <w:lang w:eastAsia="ru-RU"/>
                    </w:rPr>
                    <w:t>должность</w:t>
                  </w:r>
                </w:p>
              </w:tc>
              <w:tc>
                <w:tcPr>
                  <w:tcW w:w="1259" w:type="dxa"/>
                  <w:vMerge w:val="continue"/>
                  <w:tcBorders>
                    <w:top w:val="single" w:sz="6" w:space="0" w:color="000000"/>
                    <w:left w:val="single" w:sz="2" w:space="0" w:color="000000"/>
                    <w:bottom w:val="single" w:sz="6" w:space="0" w:color="000000"/>
                    <w:right w:val="single" w:sz="6" w:space="0" w:color="000000"/>
                  </w:tcBorders>
                  <w:shd w:color="auto" w:fill="FFFFFF" w:val="clear"/>
                  <w:tcMar>
                    <w:left w:w="7" w:type="dxa"/>
                    <w:right w:w="2" w:type="dxa"/>
                  </w:tcMar>
                  <w:vAlign w:val="center"/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4"/>
                      <w:szCs w:val="24"/>
                      <w:lang w:eastAsia="ru-RU"/>
                    </w:rPr>
                  </w:r>
                </w:p>
              </w:tc>
              <w:tc>
                <w:tcPr>
                  <w:tcW w:w="1109" w:type="dxa"/>
                  <w:vMerge w:val="continue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2" w:space="0" w:color="000000"/>
                  </w:tcBorders>
                  <w:shd w:color="auto" w:fill="FFFFFF" w:val="clear"/>
                  <w:tcMar>
                    <w:left w:w="7" w:type="dxa"/>
                    <w:right w:w="2" w:type="dxa"/>
                  </w:tcMar>
                  <w:vAlign w:val="center"/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4"/>
                      <w:szCs w:val="24"/>
                      <w:lang w:eastAsia="ru-RU"/>
                    </w:rPr>
                  </w:r>
                </w:p>
              </w:tc>
              <w:tc>
                <w:tcPr>
                  <w:tcW w:w="1683" w:type="dxa"/>
                  <w:vMerge w:val="continue"/>
                  <w:tcBorders>
                    <w:top w:val="single" w:sz="6" w:space="0" w:color="000000"/>
                    <w:left w:val="single" w:sz="2" w:space="0" w:color="000000"/>
                    <w:bottom w:val="single" w:sz="6" w:space="0" w:color="000000"/>
                    <w:right w:val="single" w:sz="6" w:space="0" w:color="000000"/>
                  </w:tcBorders>
                  <w:shd w:color="auto" w:fill="FFFFFF" w:val="clear"/>
                  <w:tcMar>
                    <w:left w:w="7" w:type="dxa"/>
                    <w:right w:w="2" w:type="dxa"/>
                  </w:tcMar>
                  <w:vAlign w:val="center"/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4"/>
                      <w:szCs w:val="24"/>
                      <w:lang w:eastAsia="ru-RU"/>
                    </w:rPr>
                  </w:r>
                </w:p>
              </w:tc>
            </w:tr>
            <w:tr>
              <w:trPr>
                <w:tblHeader w:val="true"/>
              </w:trPr>
              <w:tc>
                <w:tcPr>
                  <w:tcW w:w="43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2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suppressAutoHyphens w:val="true"/>
                    <w:spacing w:before="0" w:after="0"/>
                    <w:jc w:val="center"/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2222" w:type="dxa"/>
                  <w:tcBorders>
                    <w:top w:val="single" w:sz="6" w:space="0" w:color="000000"/>
                    <w:left w:val="single" w:sz="2" w:space="0" w:color="000000"/>
                    <w:bottom w:val="single" w:sz="6" w:space="0" w:color="000000"/>
                    <w:right w:val="single" w:sz="2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suppressAutoHyphens w:val="true"/>
                    <w:spacing w:before="0" w:after="0"/>
                    <w:jc w:val="center"/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1216" w:type="dxa"/>
                  <w:tcBorders>
                    <w:top w:val="single" w:sz="6" w:space="0" w:color="000000"/>
                    <w:left w:val="single" w:sz="2" w:space="0" w:color="000000"/>
                    <w:bottom w:val="single" w:sz="6" w:space="0" w:color="000000"/>
                    <w:right w:val="single" w:sz="2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suppressAutoHyphens w:val="true"/>
                    <w:spacing w:before="0" w:after="0"/>
                    <w:jc w:val="center"/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1154" w:type="dxa"/>
                  <w:tcBorders>
                    <w:top w:val="single" w:sz="6" w:space="0" w:color="000000"/>
                    <w:left w:val="single" w:sz="2" w:space="0" w:color="000000"/>
                    <w:bottom w:val="single" w:sz="6" w:space="0" w:color="000000"/>
                    <w:right w:val="single" w:sz="2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suppressAutoHyphens w:val="true"/>
                    <w:spacing w:before="0" w:after="0"/>
                    <w:jc w:val="center"/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1259" w:type="dxa"/>
                  <w:tcBorders>
                    <w:top w:val="single" w:sz="6" w:space="0" w:color="000000"/>
                    <w:left w:val="single" w:sz="2" w:space="0" w:color="000000"/>
                    <w:bottom w:val="single" w:sz="6" w:space="0" w:color="000000"/>
                    <w:right w:val="single" w:sz="6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suppressAutoHyphens w:val="true"/>
                    <w:spacing w:before="0" w:after="0"/>
                    <w:jc w:val="center"/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110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2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suppressAutoHyphens w:val="true"/>
                    <w:spacing w:before="0" w:after="0"/>
                    <w:jc w:val="center"/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1683" w:type="dxa"/>
                  <w:tcBorders>
                    <w:top w:val="single" w:sz="6" w:space="0" w:color="000000"/>
                    <w:left w:val="single" w:sz="2" w:space="0" w:color="000000"/>
                    <w:bottom w:val="single" w:sz="6" w:space="0" w:color="000000"/>
                    <w:right w:val="single" w:sz="6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suppressAutoHyphens w:val="true"/>
                    <w:spacing w:before="0" w:after="0"/>
                    <w:jc w:val="center"/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</w:tr>
            <w:tr>
              <w:trPr/>
              <w:tc>
                <w:tcPr>
                  <w:tcW w:w="430" w:type="dxa"/>
                  <w:tcBorders>
                    <w:top w:val="single" w:sz="6" w:space="0" w:color="000000"/>
                    <w:left w:val="single" w:sz="6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suppressAutoHyphens w:val="true"/>
                    <w:spacing w:before="0" w:after="0"/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222" w:type="dxa"/>
                  <w:tcBorders>
                    <w:top w:val="single" w:sz="6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suppressAutoHyphens w:val="true"/>
                    <w:spacing w:before="0" w:after="0"/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216" w:type="dxa"/>
                  <w:tcBorders>
                    <w:top w:val="single" w:sz="6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suppressAutoHyphens w:val="true"/>
                    <w:spacing w:before="0" w:after="0"/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54" w:type="dxa"/>
                  <w:tcBorders>
                    <w:top w:val="single" w:sz="6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suppressAutoHyphens w:val="true"/>
                    <w:spacing w:before="0" w:after="0"/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259" w:type="dxa"/>
                  <w:tcBorders>
                    <w:top w:val="single" w:sz="6" w:space="0" w:color="000000"/>
                    <w:left w:val="single" w:sz="2" w:space="0" w:color="000000"/>
                    <w:bottom w:val="single" w:sz="2" w:space="0" w:color="000000"/>
                    <w:right w:val="single" w:sz="6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suppressAutoHyphens w:val="true"/>
                    <w:spacing w:before="0" w:after="0"/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09" w:type="dxa"/>
                  <w:tcBorders>
                    <w:top w:val="single" w:sz="6" w:space="0" w:color="000000"/>
                    <w:left w:val="single" w:sz="6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suppressAutoHyphens w:val="true"/>
                    <w:spacing w:before="0" w:after="0"/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683" w:type="dxa"/>
                  <w:tcBorders>
                    <w:top w:val="single" w:sz="6" w:space="0" w:color="000000"/>
                    <w:left w:val="single" w:sz="2" w:space="0" w:color="000000"/>
                    <w:bottom w:val="single" w:sz="2" w:space="0" w:color="000000"/>
                    <w:right w:val="single" w:sz="6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suppressAutoHyphens w:val="true"/>
                    <w:spacing w:before="0" w:after="0"/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>
              <w:trPr/>
              <w:tc>
                <w:tcPr>
                  <w:tcW w:w="430" w:type="dxa"/>
                  <w:tcBorders>
                    <w:top w:val="single" w:sz="2" w:space="0" w:color="000000"/>
                    <w:left w:val="single" w:sz="6" w:space="0" w:color="000000"/>
                    <w:bottom w:val="single" w:sz="6" w:space="0" w:color="000000"/>
                    <w:right w:val="single" w:sz="2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suppressAutoHyphens w:val="true"/>
                    <w:spacing w:before="0" w:after="0"/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222" w:type="dxa"/>
                  <w:tcBorders>
                    <w:top w:val="single" w:sz="2" w:space="0" w:color="000000"/>
                    <w:left w:val="single" w:sz="2" w:space="0" w:color="000000"/>
                    <w:bottom w:val="single" w:sz="6" w:space="0" w:color="000000"/>
                    <w:right w:val="single" w:sz="2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suppressAutoHyphens w:val="true"/>
                    <w:spacing w:before="0" w:after="0"/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216" w:type="dxa"/>
                  <w:tcBorders>
                    <w:top w:val="single" w:sz="2" w:space="0" w:color="000000"/>
                    <w:left w:val="single" w:sz="2" w:space="0" w:color="000000"/>
                    <w:bottom w:val="single" w:sz="6" w:space="0" w:color="000000"/>
                    <w:right w:val="single" w:sz="2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suppressAutoHyphens w:val="true"/>
                    <w:spacing w:before="0" w:after="0"/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6" w:space="0" w:color="000000"/>
                    <w:right w:val="single" w:sz="2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suppressAutoHyphens w:val="true"/>
                    <w:spacing w:before="0" w:after="0"/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259" w:type="dxa"/>
                  <w:tcBorders>
                    <w:top w:val="single" w:sz="2" w:space="0" w:color="000000"/>
                    <w:left w:val="single" w:sz="2" w:space="0" w:color="000000"/>
                    <w:bottom w:val="single" w:sz="6" w:space="0" w:color="000000"/>
                    <w:right w:val="single" w:sz="6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suppressAutoHyphens w:val="true"/>
                    <w:spacing w:before="0" w:after="0"/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09" w:type="dxa"/>
                  <w:tcBorders>
                    <w:top w:val="single" w:sz="2" w:space="0" w:color="000000"/>
                    <w:left w:val="single" w:sz="6" w:space="0" w:color="000000"/>
                    <w:bottom w:val="single" w:sz="6" w:space="0" w:color="000000"/>
                    <w:right w:val="single" w:sz="2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suppressAutoHyphens w:val="true"/>
                    <w:spacing w:before="0" w:after="0"/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683" w:type="dxa"/>
                  <w:tcBorders>
                    <w:top w:val="single" w:sz="2" w:space="0" w:color="000000"/>
                    <w:left w:val="single" w:sz="2" w:space="0" w:color="000000"/>
                    <w:bottom w:val="single" w:sz="6" w:space="0" w:color="000000"/>
                    <w:right w:val="single" w:sz="6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suppressAutoHyphens w:val="true"/>
                    <w:spacing w:before="0" w:after="0"/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</w:tbl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36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Итого заработной платы, в руб. ______________________________________</w:t>
            </w:r>
          </w:p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2. Расчет стоимости выполнения работ</w:t>
            </w:r>
          </w:p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2.1 Процент заработной платы в составе себестоимости, %_______________</w:t>
            </w:r>
          </w:p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2.2 Себестоимость работ____________________________________________</w:t>
            </w:r>
          </w:p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2.3 Уровень рентабельности, %______________________________________</w:t>
            </w:r>
          </w:p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Итого: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___________________________________________________________</w:t>
            </w:r>
          </w:p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 Командировочные расходы (по предварительному расчету)_____________</w:t>
            </w:r>
          </w:p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Всего (руб.)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 ______________________________________________________</w:t>
            </w:r>
          </w:p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_________________________________________________________________</w:t>
            </w:r>
          </w:p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ind w:firstLine="207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(сумма прописью)</w:t>
            </w:r>
          </w:p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ind w:firstLine="207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Составил:            /должность, организация/                                                  /подпись/  </w:t>
            </w:r>
          </w:p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/расшифровка подписи/                  </w:t>
            </w:r>
          </w:p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Проверил:            /должность, организация/                                                 /подпись/ </w:t>
            </w:r>
          </w:p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 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/расшифровка подписи/ </w:t>
            </w:r>
          </w:p>
        </w:tc>
      </w:tr>
    </w:tbl>
    <w:p>
      <w:pPr>
        <w:pStyle w:val="Normal"/>
        <w:suppressAutoHyphens w:val="true"/>
        <w:spacing w:before="0" w:after="0"/>
        <w:ind w:left="5670" w:hanging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uppressAutoHyphens w:val="true"/>
        <w:spacing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uppressAutoHyphens w:val="true"/>
        <w:spacing w:before="0" w:after="0"/>
        <w:ind w:left="5670" w:hanging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Приложение № 4</w:t>
      </w:r>
    </w:p>
    <w:p>
      <w:pPr>
        <w:pStyle w:val="Normal"/>
        <w:tabs>
          <w:tab w:val="clear" w:pos="708"/>
          <w:tab w:val="left" w:pos="1080" w:leader="none"/>
        </w:tabs>
        <w:suppressAutoHyphens w:val="true"/>
        <w:spacing w:before="0" w:after="0"/>
        <w:ind w:left="5670" w:hanging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к Требованиям к оформлению и составлению смет или расчетов на выполнение услуг по программе НИР/НИОКР</w:t>
      </w:r>
    </w:p>
    <w:p>
      <w:pPr>
        <w:pStyle w:val="Normal"/>
        <w:suppressAutoHyphens w:val="tru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hd w:val="clear" w:color="auto" w:fill="FFFFFF"/>
        <w:suppressAutoHyphens w:val="true"/>
        <w:spacing w:before="0" w:after="0"/>
        <w:ind w:left="5530" w:hanging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Приложение №   к договору №   от _</w:t>
      </w:r>
    </w:p>
    <w:p>
      <w:pPr>
        <w:pStyle w:val="Normal"/>
        <w:shd w:val="clear" w:color="auto" w:fill="FFFFFF"/>
        <w:suppressAutoHyphens w:val="true"/>
        <w:spacing w:before="0" w:after="0"/>
        <w:ind w:left="3829" w:hanging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tbl>
      <w:tblPr>
        <w:tblW w:w="931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4529"/>
        <w:gridCol w:w="4786"/>
      </w:tblGrid>
      <w:tr>
        <w:trPr>
          <w:trHeight w:val="417" w:hRule="atLeast"/>
        </w:trPr>
        <w:tc>
          <w:tcPr>
            <w:tcW w:w="4529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СОГЛАСОВАНО: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_________________(Подрядчик)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_________________И.О.Ф.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478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460" w:hanging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УТВЕРЖДАЮ: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left="1460" w:hanging="0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eastAsia="ru-RU"/>
              </w:rPr>
              <w:t>_________________(Заказчик)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left="1460" w:hanging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_________________И.О.Ф.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</w:r>
          </w:p>
        </w:tc>
      </w:tr>
    </w:tbl>
    <w:p>
      <w:pPr>
        <w:pStyle w:val="Normal"/>
        <w:shd w:val="clear" w:color="auto" w:fill="FFFFFF"/>
        <w:suppressAutoHyphens w:val="true"/>
        <w:spacing w:before="480" w:after="0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 xml:space="preserve">СВОДНАЯ СМЕТА № </w:t>
        <w:br/>
        <w:t>на научно-исследовательские работы (НИОКР)</w:t>
      </w:r>
    </w:p>
    <w:p>
      <w:pPr>
        <w:pStyle w:val="Normal"/>
        <w:shd w:val="clear" w:color="auto" w:fill="FFFFFF"/>
        <w:suppressAutoHyphens w:val="true"/>
        <w:spacing w:before="480" w:after="0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hd w:val="clear" w:color="auto" w:fill="FFFFFF"/>
        <w:suppressAutoHyphens w:val="true"/>
        <w:spacing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Наименование предприятия, здания, сооружения, стадии проектирования, этапа, вида </w:t>
      </w:r>
    </w:p>
    <w:p>
      <w:pPr>
        <w:pStyle w:val="Normal"/>
        <w:shd w:val="clear" w:color="auto" w:fill="FFFFFF"/>
        <w:suppressAutoHyphens w:val="true"/>
        <w:spacing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НИОКР___________________________________________________________</w:t>
      </w:r>
    </w:p>
    <w:p>
      <w:pPr>
        <w:pStyle w:val="Normal"/>
        <w:shd w:val="clear" w:color="auto" w:fill="FFFFFF"/>
        <w:suppressAutoHyphens w:val="true"/>
        <w:spacing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__________________________________________________________________</w:t>
      </w:r>
    </w:p>
    <w:p>
      <w:pPr>
        <w:pStyle w:val="Normal"/>
        <w:shd w:val="clear" w:color="auto" w:fill="FFFFFF"/>
        <w:suppressAutoHyphens w:val="true"/>
        <w:spacing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Наименование подрядной организации_________________________________</w:t>
      </w:r>
    </w:p>
    <w:p>
      <w:pPr>
        <w:pStyle w:val="Normal"/>
        <w:shd w:val="clear" w:color="auto" w:fill="FFFFFF"/>
        <w:suppressAutoHyphens w:val="true"/>
        <w:spacing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__________________________________________________________________</w:t>
      </w:r>
    </w:p>
    <w:p>
      <w:pPr>
        <w:pStyle w:val="Normal"/>
        <w:shd w:val="clear" w:color="auto" w:fill="FFFFFF"/>
        <w:suppressAutoHyphens w:val="true"/>
        <w:spacing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Наименование организации заказчика_________________________________</w:t>
      </w:r>
    </w:p>
    <w:p>
      <w:pPr>
        <w:pStyle w:val="Normal"/>
        <w:shd w:val="clear" w:color="auto" w:fill="FFFFFF"/>
        <w:suppressAutoHyphens w:val="true"/>
        <w:spacing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__________________________________________________________________</w:t>
      </w:r>
    </w:p>
    <w:p>
      <w:pPr>
        <w:pStyle w:val="Normal"/>
        <w:suppressAutoHyphens w:val="true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uppressAutoHyphens w:val="true"/>
        <w:spacing w:lineRule="auto" w:line="240" w:before="0" w:after="0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руб.</w:t>
      </w:r>
    </w:p>
    <w:tbl>
      <w:tblPr>
        <w:tblW w:w="5000" w:type="pct"/>
        <w:jc w:val="center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4a0" w:noVBand="1" w:noHBand="0" w:lastColumn="0" w:firstColumn="1" w:lastRow="0" w:firstRow="1"/>
      </w:tblPr>
      <w:tblGrid>
        <w:gridCol w:w="546"/>
        <w:gridCol w:w="4140"/>
        <w:gridCol w:w="1723"/>
        <w:gridCol w:w="3938"/>
      </w:tblGrid>
      <w:tr>
        <w:trPr>
          <w:tblHeader w:val="true"/>
          <w:trHeight w:val="873" w:hRule="atLeast"/>
        </w:trPr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№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п.п.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Перечень (наименование) выполняемых работ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Ссылка на № смет и расчетов</w:t>
            </w:r>
          </w:p>
        </w:tc>
        <w:tc>
          <w:tcPr>
            <w:tcW w:w="3938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Стоимость работ</w:t>
            </w:r>
          </w:p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>
          <w:tblHeader w:val="true"/>
        </w:trPr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>
        <w:trPr/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38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>
        <w:trPr/>
        <w:tc>
          <w:tcPr>
            <w:tcW w:w="546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40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3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38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</w:tbl>
    <w:p>
      <w:pPr>
        <w:pStyle w:val="Normal"/>
        <w:shd w:val="clear" w:color="auto" w:fill="FFFFFF"/>
        <w:suppressAutoHyphens w:val="tru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hd w:val="clear" w:color="auto" w:fill="FFFFFF"/>
        <w:suppressAutoHyphens w:val="tru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Итого по смете ___________________________________________________</w:t>
      </w:r>
    </w:p>
    <w:p>
      <w:pPr>
        <w:pStyle w:val="Normal"/>
        <w:shd w:val="clear" w:color="auto" w:fill="FFFFFF"/>
        <w:suppressAutoHyphens w:val="true"/>
        <w:ind w:firstLine="1845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(сумма прописью)</w:t>
      </w:r>
    </w:p>
    <w:p>
      <w:pPr>
        <w:pStyle w:val="Normal"/>
        <w:shd w:val="clear" w:color="auto" w:fill="FFFFFF"/>
        <w:suppressAutoHyphens w:val="true"/>
        <w:spacing w:before="480" w:after="20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Составил:            /должность, организация/                                    /подпись/   /расшифровка подписи/</w:t>
      </w:r>
    </w:p>
    <w:p>
      <w:pPr>
        <w:pStyle w:val="Normal"/>
        <w:shd w:val="clear" w:color="auto" w:fill="FFFFFF"/>
        <w:suppressAutoHyphens w:val="true"/>
        <w:spacing w:before="480" w:after="20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uppressAutoHyphens w:val="true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Проверил:            /должность, организация/                                    /подпись/   /расшифровка подписи/</w:t>
      </w:r>
    </w:p>
    <w:p>
      <w:pPr>
        <w:pStyle w:val="Normal"/>
        <w:suppressAutoHyphens w:val="true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uppressAutoHyphens w:val="true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uppressAutoHyphens w:val="true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uppressAutoHyphens w:val="true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uppressAutoHyphens w:val="true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uppressAutoHyphens w:val="true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uppressAutoHyphens w:val="true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uppressAutoHyphens w:val="true"/>
        <w:spacing w:lineRule="auto" w:line="240" w:before="0"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Приложение № 5</w:t>
      </w:r>
    </w:p>
    <w:p>
      <w:pPr>
        <w:pStyle w:val="Normal"/>
        <w:tabs>
          <w:tab w:val="clear" w:pos="708"/>
          <w:tab w:val="left" w:pos="1080" w:leader="none"/>
        </w:tabs>
        <w:suppressAutoHyphens w:val="true"/>
        <w:spacing w:before="0" w:after="0"/>
        <w:ind w:left="5670" w:hanging="0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Технических требований</w:t>
      </w:r>
    </w:p>
    <w:p>
      <w:pPr>
        <w:pStyle w:val="Normal"/>
        <w:tabs>
          <w:tab w:val="clear" w:pos="708"/>
          <w:tab w:val="left" w:pos="1080" w:leader="none"/>
        </w:tabs>
        <w:suppressAutoHyphens w:val="true"/>
        <w:spacing w:before="0" w:after="0"/>
        <w:ind w:left="5670" w:hanging="0"/>
        <w:jc w:val="right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</w:t>
      </w:r>
      <w:r>
        <w:rPr>
          <w:rFonts w:eastAsia="Calibri" w:cs="Times New Roman" w:ascii="Times New Roman" w:hAnsi="Times New Roman"/>
          <w:sz w:val="24"/>
          <w:szCs w:val="24"/>
        </w:rPr>
        <w:t>Лот № 3-НИР-2020-ДФ</w:t>
      </w:r>
    </w:p>
    <w:p>
      <w:pPr>
        <w:pStyle w:val="Normal"/>
        <w:tabs>
          <w:tab w:val="clear" w:pos="708"/>
          <w:tab w:val="left" w:pos="1080" w:leader="none"/>
        </w:tabs>
        <w:suppressAutoHyphens w:val="true"/>
        <w:spacing w:before="0" w:after="0"/>
        <w:ind w:left="5670" w:hanging="0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uppressAutoHyphens w:val="true"/>
        <w:spacing w:lineRule="auto" w:line="240" w:before="0" w:after="0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Условия формирования документов, подтверждающих ценообразование по договорам на НИР</w:t>
      </w:r>
    </w:p>
    <w:tbl>
      <w:tblPr>
        <w:tblStyle w:val="a8"/>
        <w:tblW w:w="10339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618"/>
        <w:gridCol w:w="2902"/>
        <w:gridCol w:w="5819"/>
      </w:tblGrid>
      <w:tr>
        <w:trPr>
          <w:trHeight w:val="675" w:hRule="atLeast"/>
        </w:trPr>
        <w:tc>
          <w:tcPr>
            <w:tcW w:w="1618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kern w:val="0"/>
                <w:sz w:val="24"/>
                <w:szCs w:val="24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 w:ascii="Times New Roman" w:hAnsi="Times New Roman"/>
                <w:bCs/>
                <w:kern w:val="0"/>
                <w:sz w:val="24"/>
                <w:szCs w:val="24"/>
                <w:lang w:val="ru-RU" w:eastAsia="ru-RU" w:bidi="ar-SA"/>
              </w:rPr>
              <w:t>п/п</w:t>
            </w:r>
          </w:p>
        </w:tc>
        <w:tc>
          <w:tcPr>
            <w:tcW w:w="2902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kern w:val="0"/>
                <w:sz w:val="24"/>
                <w:szCs w:val="24"/>
                <w:lang w:val="ru-RU" w:eastAsia="ru-RU" w:bidi="ar-SA"/>
              </w:rPr>
              <w:t>Наименование условия</w:t>
            </w:r>
          </w:p>
        </w:tc>
        <w:tc>
          <w:tcPr>
            <w:tcW w:w="5819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kern w:val="0"/>
                <w:sz w:val="24"/>
                <w:szCs w:val="24"/>
                <w:lang w:val="ru-RU" w:eastAsia="ru-RU" w:bidi="ar-SA"/>
              </w:rPr>
              <w:t>Условие Заказчика</w:t>
            </w:r>
          </w:p>
        </w:tc>
      </w:tr>
      <w:tr>
        <w:trPr>
          <w:trHeight w:val="509" w:hRule="atLeast"/>
        </w:trPr>
        <w:tc>
          <w:tcPr>
            <w:tcW w:w="1618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tcW w:w="2902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tcW w:w="5819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</w:r>
          </w:p>
        </w:tc>
      </w:tr>
      <w:tr>
        <w:trPr>
          <w:trHeight w:val="255" w:hRule="atLeast"/>
        </w:trPr>
        <w:tc>
          <w:tcPr>
            <w:tcW w:w="161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29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581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</w:tr>
      <w:tr>
        <w:trPr>
          <w:trHeight w:val="1515" w:hRule="atLeast"/>
        </w:trPr>
        <w:tc>
          <w:tcPr>
            <w:tcW w:w="161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29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Метод определения стоимости работ по договору</w:t>
            </w:r>
          </w:p>
        </w:tc>
        <w:tc>
          <w:tcPr>
            <w:tcW w:w="581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 xml:space="preserve">Договор с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u w:val="single"/>
                <w:lang w:val="ru-RU" w:eastAsia="ru-RU" w:bidi="ar-SA"/>
              </w:rPr>
              <w:t>предельной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 xml:space="preserve"> ценой. Стоимость работ определяется на основании сметной документации с применением текущих (актуальных) индексов пересчета в текущие цены в соответствии с пунктом 3 настоящей таблицы. В случае превышения предельной цены договора при применении индексов пересчета в текущие цены применяются понижающие коэффициенты для сохранения предельной цены договора.  Индексация цены договора не допускается. </w:t>
            </w:r>
          </w:p>
        </w:tc>
      </w:tr>
      <w:tr>
        <w:trPr>
          <w:trHeight w:val="585" w:hRule="atLeast"/>
        </w:trPr>
        <w:tc>
          <w:tcPr>
            <w:tcW w:w="161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29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 xml:space="preserve">Метод расчета сметной документации </w:t>
            </w:r>
          </w:p>
        </w:tc>
        <w:tc>
          <w:tcPr>
            <w:tcW w:w="581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а) базисно-индексный;</w:t>
              <w:br/>
              <w:t>б) калькуляция по форме 3п;</w:t>
            </w:r>
          </w:p>
        </w:tc>
      </w:tr>
      <w:tr>
        <w:trPr>
          <w:trHeight w:val="390" w:hRule="atLeast"/>
        </w:trPr>
        <w:tc>
          <w:tcPr>
            <w:tcW w:w="161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29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Применение индексов пересчета в текущие цены</w:t>
            </w:r>
          </w:p>
        </w:tc>
        <w:tc>
          <w:tcPr>
            <w:tcW w:w="581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Индексы к единичным расценкам, выпускаемые РЦЦС.</w:t>
            </w:r>
          </w:p>
        </w:tc>
      </w:tr>
      <w:tr>
        <w:trPr>
          <w:trHeight w:val="1995" w:hRule="atLeast"/>
        </w:trPr>
        <w:tc>
          <w:tcPr>
            <w:tcW w:w="161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4</w:t>
            </w:r>
          </w:p>
        </w:tc>
        <w:tc>
          <w:tcPr>
            <w:tcW w:w="29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Применение индексов-дефляторов для определения прогнозных цен</w:t>
            </w:r>
          </w:p>
        </w:tc>
        <w:tc>
          <w:tcPr>
            <w:tcW w:w="581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При отсутствии индексов на требуемый период времени в расчетах допускается использовать прогнозные среднегодовые индексы-дефляторы по строке ИПЦ  (индекс потребительских цен) по данным Минэкономразвития РФ (далее МЭРТ). Применяются средневзвешенные индексы-дефляторы с учетом периода выполнения работ, предусмотренного графиком производства работ.</w:t>
              <w:br/>
              <w:t>При отсутствии прогнозных данных МЭРТ на планируемый период использовать актуальные Единые сценарные условия ОАО «РусГидро» приложение 1.1., пункт 1.1 (умеренный вариант).  Индексы-дефляторы применяются без разбивки по кварталам.</w:t>
            </w:r>
          </w:p>
        </w:tc>
      </w:tr>
      <w:tr>
        <w:trPr>
          <w:trHeight w:val="1950" w:hRule="atLeast"/>
        </w:trPr>
        <w:tc>
          <w:tcPr>
            <w:tcW w:w="161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5</w:t>
            </w:r>
          </w:p>
        </w:tc>
        <w:tc>
          <w:tcPr>
            <w:tcW w:w="29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Решение спорных вопросов</w:t>
            </w:r>
          </w:p>
        </w:tc>
        <w:tc>
          <w:tcPr>
            <w:tcW w:w="581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При возникновении спорных вопросов по ценообразованию в части составления сметной документации подрядчик готовит проект  письма-обращения в Минрегион РФ с приложением всех необходимых документов, обоснований, и направляет его на согласование Заказчику. Заказчик при необходимости дополняет, согласовывает и подписывает данное письмо-обращение и направляет его в Минрегион РФ. Рекомендации, изложенные в письме-разъяснении Минрегиона РФ являются основанием для разрешения споров. При отсутствии четкого ответа, решение по спорным вопросам принимает Заказчик. Данное решение является окончательным.</w:t>
            </w:r>
          </w:p>
        </w:tc>
      </w:tr>
      <w:tr>
        <w:trPr>
          <w:trHeight w:val="2730" w:hRule="atLeast"/>
        </w:trPr>
        <w:tc>
          <w:tcPr>
            <w:tcW w:w="161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6</w:t>
            </w:r>
          </w:p>
        </w:tc>
        <w:tc>
          <w:tcPr>
            <w:tcW w:w="29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 xml:space="preserve">Командировочные расходы </w:t>
            </w:r>
          </w:p>
        </w:tc>
        <w:tc>
          <w:tcPr>
            <w:tcW w:w="581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 xml:space="preserve">Составляется предварительный расчет стоимости командировочных расходов. Размер суточных командировочных расходов определить в соответствии с Федеральным законом от 24 июля 2007 г. N 216-ФЗ с 1 января 2008 года при оплате работодателем налогоплательщику расходов на командировки внутри страны, подлежащий налогообложению, не включаются суточные, выплачиваемые в соответствии с законодательством РФ, но не более 700 рублей за каждый день нахождения в командировке на территории РФ и с учетом норм определяемых внутренним документом организации. лимиты командировочных расходов при производстве НИР, НИОКР и ПИР:• Суточные  700руб.;• Проживание  3500 руб.;• Проезд поезд купе или самолет (класс – эконом). </w:t>
            </w:r>
          </w:p>
        </w:tc>
      </w:tr>
    </w:tbl>
    <w:p>
      <w:pPr>
        <w:sectPr>
          <w:footnotePr>
            <w:numFmt w:val="decimal"/>
            <w:numRestart w:val="eachPage"/>
          </w:footnotePr>
          <w:type w:val="nextPage"/>
          <w:pgSz w:w="11906" w:h="16838"/>
          <w:pgMar w:left="851" w:right="707" w:gutter="0" w:header="0" w:top="284" w:footer="0" w:bottom="426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Normal"/>
        <w:tabs>
          <w:tab w:val="clear" w:pos="708"/>
          <w:tab w:val="left" w:pos="12985" w:leader="none"/>
        </w:tabs>
        <w:suppressAutoHyphens w:val="true"/>
        <w:spacing w:lineRule="auto" w:line="240" w:before="0" w:after="0"/>
        <w:jc w:val="right"/>
        <w:rPr>
          <w:rFonts w:ascii="Times New Roman" w:hAnsi="Times New Roman" w:eastAsia="Times New Roman" w:cs="Times New Roman"/>
          <w:bCs/>
          <w:szCs w:val="24"/>
          <w:lang w:eastAsia="ru-RU"/>
        </w:rPr>
      </w:pPr>
      <w:r>
        <w:rPr>
          <w:rFonts w:eastAsia="Times New Roman" w:cs="Times New Roman" w:ascii="Times New Roman" w:hAnsi="Times New Roman"/>
          <w:bCs/>
          <w:szCs w:val="24"/>
          <w:lang w:eastAsia="ru-RU"/>
        </w:rPr>
        <w:t xml:space="preserve">Приложение №.6 </w:t>
      </w:r>
    </w:p>
    <w:p>
      <w:pPr>
        <w:pStyle w:val="Normal"/>
        <w:tabs>
          <w:tab w:val="clear" w:pos="708"/>
          <w:tab w:val="left" w:pos="12985" w:leader="none"/>
        </w:tabs>
        <w:suppressAutoHyphens w:val="true"/>
        <w:spacing w:lineRule="auto" w:line="240" w:before="0" w:after="0"/>
        <w:jc w:val="right"/>
        <w:rPr>
          <w:rFonts w:ascii="Times New Roman" w:hAnsi="Times New Roman" w:eastAsia="Times New Roman" w:cs="Times New Roman"/>
          <w:bCs/>
          <w:szCs w:val="24"/>
          <w:lang w:eastAsia="ru-RU"/>
        </w:rPr>
      </w:pPr>
      <w:r>
        <w:rPr>
          <w:rFonts w:eastAsia="Times New Roman" w:cs="Times New Roman" w:ascii="Times New Roman" w:hAnsi="Times New Roman"/>
          <w:bCs/>
          <w:szCs w:val="24"/>
          <w:lang w:eastAsia="ru-RU"/>
        </w:rPr>
        <w:t>ЛОТ №3-НИР-2020-ДФ</w:t>
      </w:r>
    </w:p>
    <w:p>
      <w:pPr>
        <w:pStyle w:val="Normal"/>
        <w:suppressAutoHyphens w:val="true"/>
        <w:spacing w:lineRule="auto" w:line="240" w:before="0" w:after="0"/>
        <w:rPr>
          <w:rFonts w:ascii="Times New Roman" w:hAnsi="Times New Roman" w:eastAsia="Times New Roman" w:cs="Times New Roman"/>
          <w:b/>
          <w:sz w:val="24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8"/>
          <w:lang w:eastAsia="ru-RU"/>
        </w:rPr>
      </w:r>
    </w:p>
    <w:p>
      <w:pPr>
        <w:pStyle w:val="Normal"/>
        <w:suppressAutoHyphens w:val="true"/>
        <w:spacing w:lineRule="auto" w:line="240" w:before="0" w:after="0"/>
        <w:rPr>
          <w:rFonts w:ascii="Times New Roman" w:hAnsi="Times New Roman" w:eastAsia="Times New Roman" w:cs="Times New Roman"/>
          <w:b/>
          <w:sz w:val="24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8"/>
          <w:lang w:eastAsia="ru-RU"/>
        </w:rPr>
        <w:t>Условия формирования документов, подтверждающих ценообразование по договорам на капитальное строительство, реконструкцию и ТПиР, капитальный и текущий ремонт, техническое обслуживание, НИР и НИОКР, ПИР, оказание услуг.</w:t>
      </w:r>
    </w:p>
    <w:p>
      <w:pPr>
        <w:pStyle w:val="Normal"/>
        <w:suppressAutoHyphens w:val="true"/>
        <w:spacing w:lineRule="auto" w:line="240" w:before="0" w:after="0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</w:r>
    </w:p>
    <w:tbl>
      <w:tblPr>
        <w:tblW w:w="15877" w:type="dxa"/>
        <w:jc w:val="left"/>
        <w:tblInd w:w="-31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411"/>
        <w:gridCol w:w="3488"/>
        <w:gridCol w:w="5873"/>
        <w:gridCol w:w="2218"/>
        <w:gridCol w:w="3887"/>
      </w:tblGrid>
      <w:tr>
        <w:trPr>
          <w:tblHeader w:val="true"/>
          <w:trHeight w:val="675" w:hRule="atLeast"/>
        </w:trPr>
        <w:tc>
          <w:tcPr>
            <w:tcW w:w="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Cs w:val="24"/>
                <w:lang w:eastAsia="ru-RU"/>
              </w:rPr>
              <w:t xml:space="preserve">№ </w:t>
            </w:r>
            <w:r>
              <w:rPr>
                <w:rFonts w:eastAsia="Times New Roman" w:cs="Times New Roman" w:ascii="Times New Roman" w:hAnsi="Times New Roman"/>
                <w:b/>
                <w:bCs/>
                <w:szCs w:val="24"/>
                <w:lang w:eastAsia="ru-RU"/>
              </w:rPr>
              <w:t>п/п</w:t>
            </w:r>
          </w:p>
        </w:tc>
        <w:tc>
          <w:tcPr>
            <w:tcW w:w="3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Cs w:val="24"/>
                <w:lang w:eastAsia="ru-RU"/>
              </w:rPr>
              <w:t>Наименование условия</w:t>
            </w:r>
          </w:p>
        </w:tc>
        <w:tc>
          <w:tcPr>
            <w:tcW w:w="58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Cs w:val="24"/>
                <w:lang w:eastAsia="ru-RU"/>
              </w:rPr>
              <w:t>Возможные варианты</w:t>
            </w:r>
          </w:p>
        </w:tc>
        <w:tc>
          <w:tcPr>
            <w:tcW w:w="22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Cs w:val="24"/>
                <w:lang w:eastAsia="ru-RU"/>
              </w:rPr>
              <w:t>Условие Заказчика* (определяет инициатор закупки, согласовывает ДМиЦ в соответствии с регламентом подготовки, согласования и утверждения ТТ)</w:t>
            </w:r>
          </w:p>
        </w:tc>
        <w:tc>
          <w:tcPr>
            <w:tcW w:w="38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Cs w:val="24"/>
                <w:lang w:eastAsia="ru-RU"/>
              </w:rPr>
              <w:t>Примечание</w:t>
            </w:r>
          </w:p>
        </w:tc>
      </w:tr>
      <w:tr>
        <w:trPr>
          <w:tblHeader w:val="true"/>
          <w:trHeight w:val="1680" w:hRule="atLeast"/>
        </w:trPr>
        <w:tc>
          <w:tcPr>
            <w:tcW w:w="41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Cs w:val="24"/>
                <w:lang w:eastAsia="ru-RU"/>
              </w:rPr>
            </w:r>
          </w:p>
        </w:tc>
        <w:tc>
          <w:tcPr>
            <w:tcW w:w="348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Cs w:val="24"/>
                <w:lang w:eastAsia="ru-RU"/>
              </w:rPr>
            </w:r>
          </w:p>
        </w:tc>
        <w:tc>
          <w:tcPr>
            <w:tcW w:w="58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Cs w:val="24"/>
                <w:lang w:eastAsia="ru-RU"/>
              </w:rPr>
            </w:r>
          </w:p>
        </w:tc>
        <w:tc>
          <w:tcPr>
            <w:tcW w:w="22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Cs w:val="24"/>
                <w:lang w:eastAsia="ru-RU"/>
              </w:rPr>
            </w:r>
          </w:p>
        </w:tc>
        <w:tc>
          <w:tcPr>
            <w:tcW w:w="388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Cs w:val="24"/>
                <w:lang w:eastAsia="ru-RU"/>
              </w:rPr>
            </w:r>
          </w:p>
        </w:tc>
      </w:tr>
      <w:tr>
        <w:trPr>
          <w:tblHeader w:val="true"/>
          <w:trHeight w:val="255" w:hRule="atLeast"/>
        </w:trPr>
        <w:tc>
          <w:tcPr>
            <w:tcW w:w="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Cs w:val="24"/>
                <w:lang w:eastAsia="ru-RU"/>
              </w:rPr>
              <w:t>1</w:t>
            </w:r>
          </w:p>
        </w:tc>
        <w:tc>
          <w:tcPr>
            <w:tcW w:w="34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Cs w:val="24"/>
                <w:lang w:eastAsia="ru-RU"/>
              </w:rPr>
              <w:t>2</w:t>
            </w:r>
          </w:p>
        </w:tc>
        <w:tc>
          <w:tcPr>
            <w:tcW w:w="587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Cs w:val="24"/>
                <w:lang w:eastAsia="ru-RU"/>
              </w:rPr>
              <w:t>3</w:t>
            </w:r>
          </w:p>
        </w:tc>
        <w:tc>
          <w:tcPr>
            <w:tcW w:w="22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Cs w:val="24"/>
                <w:lang w:eastAsia="ru-RU"/>
              </w:rPr>
              <w:t>4</w:t>
            </w:r>
          </w:p>
        </w:tc>
        <w:tc>
          <w:tcPr>
            <w:tcW w:w="388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Cs w:val="24"/>
                <w:lang w:eastAsia="ru-RU"/>
              </w:rPr>
              <w:t>5</w:t>
            </w:r>
          </w:p>
        </w:tc>
      </w:tr>
      <w:tr>
        <w:trPr>
          <w:trHeight w:val="4635" w:hRule="atLeast"/>
        </w:trPr>
        <w:tc>
          <w:tcPr>
            <w:tcW w:w="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Cs w:val="24"/>
                <w:lang w:eastAsia="ru-RU"/>
              </w:rPr>
              <w:t>1</w:t>
            </w:r>
          </w:p>
        </w:tc>
        <w:tc>
          <w:tcPr>
            <w:tcW w:w="34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Cs w:val="24"/>
                <w:lang w:eastAsia="ru-RU"/>
              </w:rPr>
              <w:t>Метод определения стоимости работ по договору</w:t>
            </w:r>
          </w:p>
        </w:tc>
        <w:tc>
          <w:tcPr>
            <w:tcW w:w="587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Cs w:val="24"/>
                <w:lang w:eastAsia="ru-RU"/>
              </w:rPr>
              <w:t xml:space="preserve">а) договор с </w:t>
            </w:r>
            <w:r>
              <w:rPr>
                <w:rFonts w:eastAsia="Times New Roman" w:cs="Times New Roman" w:ascii="Times New Roman" w:hAnsi="Times New Roman"/>
                <w:szCs w:val="24"/>
                <w:u w:val="single"/>
                <w:lang w:eastAsia="ru-RU"/>
              </w:rPr>
              <w:t>твердой</w:t>
            </w:r>
            <w:r>
              <w:rPr>
                <w:rFonts w:eastAsia="Times New Roman" w:cs="Times New Roman" w:ascii="Times New Roman" w:hAnsi="Times New Roman"/>
                <w:szCs w:val="24"/>
                <w:lang w:eastAsia="ru-RU"/>
              </w:rPr>
              <w:t xml:space="preserve"> ценой. Стоимость работ определяется на основании сметной документации с применением, при необходимости, индексов-дефляторов в соответствии с пунктом 6 настоящей таблицы. Индексация цены договора не допускается;</w:t>
              <w:br/>
              <w:t xml:space="preserve">б) договор с </w:t>
            </w:r>
            <w:r>
              <w:rPr>
                <w:rFonts w:eastAsia="Times New Roman" w:cs="Times New Roman" w:ascii="Times New Roman" w:hAnsi="Times New Roman"/>
                <w:szCs w:val="24"/>
                <w:u w:val="single"/>
                <w:lang w:eastAsia="ru-RU"/>
              </w:rPr>
              <w:t>предварительной</w:t>
            </w:r>
            <w:r>
              <w:rPr>
                <w:rFonts w:eastAsia="Times New Roman" w:cs="Times New Roman" w:ascii="Times New Roman" w:hAnsi="Times New Roman"/>
                <w:szCs w:val="24"/>
                <w:lang w:eastAsia="ru-RU"/>
              </w:rPr>
              <w:t xml:space="preserve"> ценой. Допускается индексация в соответствии с пунктом 1.12 ТФУ ОАО "РусГидро" (пункт__проекта договора);</w:t>
              <w:br/>
              <w:t xml:space="preserve">в) договор с </w:t>
            </w:r>
            <w:r>
              <w:rPr>
                <w:rFonts w:eastAsia="Times New Roman" w:cs="Times New Roman" w:ascii="Times New Roman" w:hAnsi="Times New Roman"/>
                <w:szCs w:val="24"/>
                <w:u w:val="single"/>
                <w:lang w:eastAsia="ru-RU"/>
              </w:rPr>
              <w:t>предельной</w:t>
            </w:r>
            <w:r>
              <w:rPr>
                <w:rFonts w:eastAsia="Times New Roman" w:cs="Times New Roman" w:ascii="Times New Roman" w:hAnsi="Times New Roman"/>
                <w:szCs w:val="24"/>
                <w:lang w:eastAsia="ru-RU"/>
              </w:rPr>
              <w:t xml:space="preserve"> ценой. Стоимость работ определяется на основании сметной документации с применением текущих (актуальных) индексов пересчета в текущие цены в соответствии с пунктом 5 настоящей таблицы. В случае превышения предельной цены договора при применении индексов пересчета в текущие цены применяются понижающие коэффициенты для сохранения предельной цены договора.  Индексация цены договора не допускается. </w:t>
            </w:r>
          </w:p>
        </w:tc>
        <w:tc>
          <w:tcPr>
            <w:tcW w:w="22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Cs w:val="24"/>
                <w:lang w:eastAsia="ru-RU"/>
              </w:rPr>
              <w:t>а)</w:t>
            </w:r>
          </w:p>
        </w:tc>
        <w:tc>
          <w:tcPr>
            <w:tcW w:w="388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Cs w:val="24"/>
                <w:lang w:eastAsia="ru-RU"/>
              </w:rPr>
              <w:t xml:space="preserve">Представленные варианты договоров указаны на основании опыта заключения договоров для нужд ОАО "РусГидро". </w:t>
              <w:br/>
              <w:t xml:space="preserve">Вариант а) рекомендуется при наличии проекта на момент публикации закупки в ТТ, относительно небольшом сроке выполнения работ (до 3 лет) /  небольшой стоимости (до 100 млн.руб. без НДС). </w:t>
              <w:br/>
              <w:t>Вариант б) рекомендуется при наличии в ТТ проекта на момент публикации закупки длительных сроках выполнения работ (более 3 лет) и значительной стоимости работ (более 100 млн.руб. без НДС).</w:t>
              <w:br/>
              <w:t>Вариант в) рекомендуется при отсутствии в ТТ проекта, позволяющего составить сметы и определить твердую или предварительную стоимость на момент публикации закупки (например договоры по ПВ СШГЭС).</w:t>
            </w:r>
          </w:p>
        </w:tc>
      </w:tr>
      <w:tr>
        <w:trPr>
          <w:trHeight w:val="5250" w:hRule="atLeast"/>
        </w:trPr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Cs w:val="24"/>
                <w:lang w:eastAsia="ru-RU"/>
              </w:rPr>
              <w:t>2</w:t>
            </w:r>
          </w:p>
        </w:tc>
        <w:tc>
          <w:tcPr>
            <w:tcW w:w="34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Cs w:val="24"/>
                <w:lang w:eastAsia="ru-RU"/>
              </w:rPr>
              <w:t>Метод расчета сметной документации (ресурсный, ресурсно-индексный, базисно-индексный)</w:t>
            </w:r>
          </w:p>
        </w:tc>
        <w:tc>
          <w:tcPr>
            <w:tcW w:w="58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Cs w:val="24"/>
                <w:lang w:eastAsia="ru-RU"/>
              </w:rPr>
              <w:t>а) базисно-индексный;б) ресурсно-индексный;в) ресурсный;г) калькуляция по форме 3п;д) расчете) укрупненный расчет стоимости без приложения смет**</w:t>
            </w:r>
          </w:p>
        </w:tc>
        <w:tc>
          <w:tcPr>
            <w:tcW w:w="22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Cs w:val="24"/>
                <w:lang w:eastAsia="ru-RU"/>
              </w:rPr>
              <w:t>а)</w:t>
            </w:r>
          </w:p>
        </w:tc>
        <w:tc>
          <w:tcPr>
            <w:tcW w:w="38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Cs w:val="24"/>
                <w:lang w:eastAsia="ru-RU"/>
              </w:rPr>
              <w:t>Вариант д) может  применяться при расчете стоимости технического обслуживания и услуг.Вариант е) может применяться при проведении конкурентных процедур с четко определенным результатом работ при наличии утвержденного проекта в составе закупочной документации. Стоимость работ определяется на основании укрупненного расчета с выделением этапов, привязанных к графику оплаты. Стоимость дополнительных работ в определяется на основании сметной документации, составленной в соответствии с актуальными требованиями к оформлению и составлению сметной документации. Закрытие актов выполненных работ в таких договорах осуществляется в соответствии с графиком выполнения работ. Сметная документация может разрабатываться в составе рабочей документации, но не является приложением к договору.</w:t>
            </w:r>
          </w:p>
        </w:tc>
      </w:tr>
      <w:tr>
        <w:trPr>
          <w:trHeight w:val="1680" w:hRule="atLeast"/>
        </w:trPr>
        <w:tc>
          <w:tcPr>
            <w:tcW w:w="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Cs w:val="24"/>
                <w:lang w:eastAsia="ru-RU"/>
              </w:rPr>
              <w:t>3</w:t>
            </w:r>
          </w:p>
        </w:tc>
        <w:tc>
          <w:tcPr>
            <w:tcW w:w="34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Cs w:val="24"/>
                <w:lang w:eastAsia="ru-RU"/>
              </w:rPr>
              <w:t xml:space="preserve">Применение сметно-нормативной базы </w:t>
            </w:r>
          </w:p>
        </w:tc>
        <w:tc>
          <w:tcPr>
            <w:tcW w:w="587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Cs w:val="24"/>
                <w:lang w:eastAsia="ru-RU"/>
              </w:rPr>
              <w:t>а) применение Федеральной сметно-нормативной базы (ФЕР-2001, ФЕРм-2001, ФЕРр-2001, ФЕРп-2001);</w:t>
              <w:br/>
              <w:t>б) применение Территориальной сметно-нормативной базы (ТЕР-2001, ТЕРм-2001, ТЕРр-2001, ТЕРп-2001), при условии наличия данной базы в Федеральном реестре сметных нормативов;</w:t>
              <w:br/>
              <w:t>в) применение Государственных элементных сметных норм (ГЭСН-2001, ГЭСНм-2001, ГЭСНр-2001, ГЭСНп-2001).</w:t>
            </w:r>
          </w:p>
        </w:tc>
        <w:tc>
          <w:tcPr>
            <w:tcW w:w="22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Cs w:val="24"/>
                <w:lang w:eastAsia="ru-RU"/>
              </w:rPr>
              <w:t>а)</w:t>
            </w:r>
          </w:p>
        </w:tc>
        <w:tc>
          <w:tcPr>
            <w:tcW w:w="388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Cs w:val="24"/>
                <w:lang w:eastAsia="ru-RU"/>
              </w:rPr>
              <w:t> </w:t>
            </w:r>
          </w:p>
        </w:tc>
      </w:tr>
      <w:tr>
        <w:trPr>
          <w:trHeight w:val="616" w:hRule="atLeast"/>
        </w:trPr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Cs w:val="24"/>
                <w:lang w:eastAsia="ru-RU"/>
              </w:rPr>
              <w:t>4</w:t>
            </w:r>
          </w:p>
        </w:tc>
        <w:tc>
          <w:tcPr>
            <w:tcW w:w="34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Cs w:val="24"/>
                <w:lang w:eastAsia="ru-RU"/>
              </w:rPr>
              <w:t>Определение стоимости материально-технических ресурсов (далее МТР)</w:t>
            </w:r>
          </w:p>
        </w:tc>
        <w:tc>
          <w:tcPr>
            <w:tcW w:w="58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Cs w:val="24"/>
                <w:lang w:eastAsia="ru-RU"/>
              </w:rPr>
              <w:t xml:space="preserve">а) стоимость МТР, определять по сборнику «сметных цен на материалы» утвержденному в установленном порядке и внесенному в Федеральный реестр сметных нормативов; при отсутствии необходимой номенклатуры МТР по сборнику.Допускается стоимость определять на основании прайс-листов  в текущем уровне (в сметах в графе «обоснование» указывать дату/период действия и изготовителя/поставщика), при этом цены не должны превышать средних цен по региону расположения Филиала ОАО «РусГидро». К стоимости кабелей и проводов, определенных по сборникам ФССЦ, применяется коэффициент, приводящий текущую стоимость с соответствие со среднерыночной по региону расположения Филиала ОАО «РусГидро».                                                                               б) Стоимость кабелей и проводов допускается определять по прайс-листам региона расположения Филиала ОАО "РусГидро"                                          в) при незначительной доле электромонтажных материалов в общей стоимости МТР допускается определять их стоимость на основании сборников сметных цен на материалы, при этом все стоимость всех остальных МТР определяется также по сборникамВ случае, если </w:t>
            </w:r>
            <w:r>
              <w:rPr>
                <w:rFonts w:eastAsia="Times New Roman" w:cs="Times New Roman" w:ascii="Times New Roman" w:hAnsi="Times New Roman"/>
                <w:b/>
                <w:bCs/>
                <w:szCs w:val="24"/>
                <w:lang w:eastAsia="ru-RU"/>
              </w:rPr>
              <w:t>по мнению подрядчика</w:t>
            </w:r>
            <w:r>
              <w:rPr>
                <w:rFonts w:eastAsia="Times New Roman" w:cs="Times New Roman" w:ascii="Times New Roman" w:hAnsi="Times New Roman"/>
                <w:szCs w:val="24"/>
                <w:lang w:eastAsia="ru-RU"/>
              </w:rPr>
              <w:t xml:space="preserve"> стоимость МТР, рассчитанная по сборнику «сметных цен на материалы», значительно ниже среднерыночной, что ведет к убыткам подрядчика, то выполняется расчет удорожания МТР, в который включается </w:t>
            </w:r>
            <w:r>
              <w:rPr>
                <w:rFonts w:eastAsia="Times New Roman" w:cs="Times New Roman" w:ascii="Times New Roman" w:hAnsi="Times New Roman"/>
                <w:b/>
                <w:bCs/>
                <w:szCs w:val="24"/>
                <w:lang w:eastAsia="ru-RU"/>
              </w:rPr>
              <w:t>номенклатура всех МТР</w:t>
            </w:r>
            <w:r>
              <w:rPr>
                <w:rFonts w:eastAsia="Times New Roman" w:cs="Times New Roman" w:ascii="Times New Roman" w:hAnsi="Times New Roman"/>
                <w:szCs w:val="24"/>
                <w:lang w:eastAsia="ru-RU"/>
              </w:rPr>
              <w:t>, включенных в состав договора / дополнительного соглашения.</w:t>
            </w:r>
          </w:p>
        </w:tc>
        <w:tc>
          <w:tcPr>
            <w:tcW w:w="22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Cs w:val="24"/>
                <w:lang w:eastAsia="ru-RU"/>
              </w:rPr>
              <w:t>а)</w:t>
            </w:r>
          </w:p>
        </w:tc>
        <w:tc>
          <w:tcPr>
            <w:tcW w:w="38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Cs w:val="24"/>
                <w:lang w:eastAsia="ru-RU"/>
              </w:rPr>
              <w:t> </w:t>
            </w:r>
          </w:p>
        </w:tc>
      </w:tr>
      <w:tr>
        <w:trPr>
          <w:trHeight w:val="2715" w:hRule="atLeast"/>
        </w:trPr>
        <w:tc>
          <w:tcPr>
            <w:tcW w:w="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Cs w:val="24"/>
                <w:lang w:eastAsia="ru-RU"/>
              </w:rPr>
              <w:t>5</w:t>
            </w:r>
          </w:p>
        </w:tc>
        <w:tc>
          <w:tcPr>
            <w:tcW w:w="34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Cs w:val="24"/>
                <w:lang w:eastAsia="ru-RU"/>
              </w:rPr>
              <w:t>Применение индексов пересчета в текущие цены</w:t>
            </w:r>
          </w:p>
        </w:tc>
        <w:tc>
          <w:tcPr>
            <w:tcW w:w="587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Cs w:val="24"/>
                <w:lang w:eastAsia="ru-RU"/>
              </w:rPr>
              <w:t>а) индексы по объектам строительства по регионам РФ, публикуемые в приложениях к письмам Минрегиона России;</w:t>
              <w:br/>
              <w:t>б) индексы по статьям затрат по видам строительства, публикуемые в Вестнике ценообразования и сметного нормирования по виду строительства "Общеотраслевое строительство";</w:t>
              <w:br/>
              <w:t xml:space="preserve">в) индексы изменения сметной стоимости, выпускаемые РЦЦС; </w:t>
              <w:br/>
              <w:t>г) индексы к единичным расценкам, выпускаемые РЦЦС.</w:t>
            </w:r>
          </w:p>
        </w:tc>
        <w:tc>
          <w:tcPr>
            <w:tcW w:w="22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Cs w:val="24"/>
                <w:lang w:eastAsia="ru-RU"/>
              </w:rPr>
              <w:t xml:space="preserve">б) </w:t>
            </w:r>
          </w:p>
        </w:tc>
        <w:tc>
          <w:tcPr>
            <w:tcW w:w="388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Cs w:val="24"/>
                <w:lang w:eastAsia="ru-RU"/>
              </w:rPr>
              <w:t>При взаиморасчетах допускается применение индивидуальных индексов. Порядок применения индивидуального индекса перевода сметной стоимости строительно-монтажных работ из базисного уровня цен в текущий уровень цен в отношении объектов, финансирование которых осуществляется с привлечением средств Федерального бюджета утвержден приказом ОАО «РусГидро» от 17.05.2011 № 462.</w:t>
            </w:r>
          </w:p>
        </w:tc>
      </w:tr>
      <w:tr>
        <w:trPr>
          <w:trHeight w:val="2400" w:hRule="atLeast"/>
        </w:trPr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Cs w:val="24"/>
                <w:lang w:eastAsia="ru-RU"/>
              </w:rPr>
              <w:t>6</w:t>
            </w:r>
          </w:p>
        </w:tc>
        <w:tc>
          <w:tcPr>
            <w:tcW w:w="34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Cs w:val="24"/>
                <w:lang w:eastAsia="ru-RU"/>
              </w:rPr>
              <w:t>Применение индексов-дефляторов для определения прогнозных цен</w:t>
            </w:r>
          </w:p>
        </w:tc>
        <w:tc>
          <w:tcPr>
            <w:tcW w:w="58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Cs w:val="24"/>
                <w:lang w:eastAsia="ru-RU"/>
              </w:rPr>
              <w:t>а) При отсутствии индексов на требуемый период времени в расчетах допускается использовать прогнозные среднегодовые индексы-дефляторы по строке ИПЦ  (индекс потребительских цен) по данным Минэкономразвития РФ (далее МЭРТ). Применяются средневзвешенные индексы-дефляторы с учетом периода выполнения работ, предусмотренного графиком производства работ.</w:t>
              <w:br/>
              <w:t>При отсутствии прогнозных данных МЭРТ на планируемый период использовать актуальные Единые сценарные условия ОАО «РусГидро» приложение 1.1., пункт 1.1 (умеренный вариант).  Индексы-дефляторы применяются без разбивки по кварталам.</w:t>
            </w:r>
          </w:p>
        </w:tc>
        <w:tc>
          <w:tcPr>
            <w:tcW w:w="22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Cs w:val="24"/>
                <w:lang w:eastAsia="ru-RU"/>
              </w:rPr>
              <w:t>а)</w:t>
            </w:r>
          </w:p>
        </w:tc>
        <w:tc>
          <w:tcPr>
            <w:tcW w:w="38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Cs w:val="24"/>
                <w:lang w:eastAsia="ru-RU"/>
              </w:rPr>
              <w:t> </w:t>
            </w:r>
          </w:p>
        </w:tc>
      </w:tr>
      <w:tr>
        <w:trPr>
          <w:trHeight w:val="2490" w:hRule="atLeast"/>
        </w:trPr>
        <w:tc>
          <w:tcPr>
            <w:tcW w:w="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Cs w:val="24"/>
                <w:lang w:eastAsia="ru-RU"/>
              </w:rPr>
              <w:t>7</w:t>
            </w:r>
          </w:p>
        </w:tc>
        <w:tc>
          <w:tcPr>
            <w:tcW w:w="34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Cs w:val="24"/>
                <w:lang w:eastAsia="ru-RU"/>
              </w:rPr>
              <w:t xml:space="preserve">Определение стоимости работ выполняемых в рамках договора, т.е. входящих в договорную стоимость (работы выполняемые в счет резерва средств на непредвиденные работы и затраты, работы по возведению временных зданий и сооружений, сметная документация на работы объемы которых подлежат изменению (исключению/дополнению)) </w:t>
            </w:r>
          </w:p>
        </w:tc>
        <w:tc>
          <w:tcPr>
            <w:tcW w:w="587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Cs w:val="24"/>
                <w:lang w:eastAsia="ru-RU"/>
              </w:rPr>
              <w:t xml:space="preserve">а) При составлении сметной документации на работы выполняемые в рамках договора (дополнительного соглашения) необходимо руководствоваться условиями ценообразования учтенными в сметной документации к основному договору (дополнительному соглашению) в том числе: сметно-нормативная база, индексы перевода в текущие цены, понижающие договорные коэффициенты, индексы-дефляторы. </w:t>
            </w:r>
          </w:p>
        </w:tc>
        <w:tc>
          <w:tcPr>
            <w:tcW w:w="22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Cs w:val="24"/>
                <w:lang w:eastAsia="ru-RU"/>
              </w:rPr>
              <w:t>а)</w:t>
            </w:r>
          </w:p>
        </w:tc>
        <w:tc>
          <w:tcPr>
            <w:tcW w:w="388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Cs w:val="24"/>
                <w:lang w:eastAsia="ru-RU"/>
              </w:rPr>
              <w:t> </w:t>
            </w:r>
          </w:p>
        </w:tc>
      </w:tr>
      <w:tr>
        <w:trPr>
          <w:trHeight w:val="3390" w:hRule="atLeast"/>
        </w:trPr>
        <w:tc>
          <w:tcPr>
            <w:tcW w:w="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Cs w:val="24"/>
                <w:lang w:eastAsia="ru-RU"/>
              </w:rPr>
              <w:t>8</w:t>
            </w:r>
          </w:p>
        </w:tc>
        <w:tc>
          <w:tcPr>
            <w:tcW w:w="34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Cs w:val="24"/>
                <w:lang w:eastAsia="ru-RU"/>
              </w:rPr>
              <w:t>Размер резерва средств на непредвиденные работы и затраты</w:t>
            </w:r>
          </w:p>
        </w:tc>
        <w:tc>
          <w:tcPr>
            <w:tcW w:w="587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Cs w:val="24"/>
                <w:lang w:eastAsia="ru-RU"/>
              </w:rPr>
              <w:t>а) до 2-х процентов - для объектов капитального строительства непроизводственного назначения;</w:t>
              <w:br/>
              <w:t>б) до 3-х процентов - для объектов капитального строительства производственного назначения;</w:t>
              <w:br/>
              <w:t>в) до 10-ти процентов - для уникальных объектов капитального строительства, а также объектов атомной энергетики, гидротехнических сооружений первого класса, объектов космической инфраструктуры, метрополитенов.</w:t>
              <w:br/>
              <w:t>Оплата непредвиденных работ и затрат производится в соответствии с разделом 3 Договора. Заключение дополнительного соглашения на увеличение стоимости работ производится после использования резерва средств на непредвиденные работы и затраты. В дополнительном соглашении резерв средств на непредвиденные работы и затраты не предусматривается.</w:t>
            </w:r>
          </w:p>
        </w:tc>
        <w:tc>
          <w:tcPr>
            <w:tcW w:w="22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Cs w:val="24"/>
                <w:lang w:eastAsia="ru-RU"/>
              </w:rPr>
              <w:t>3%</w:t>
            </w:r>
          </w:p>
        </w:tc>
        <w:tc>
          <w:tcPr>
            <w:tcW w:w="388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Cs w:val="24"/>
                <w:lang w:eastAsia="ru-RU"/>
              </w:rPr>
              <w:t>В столбце 4 необходимо указывать объект капитального строительства и конкретный процент непредвиденных расходов. (Например, в) уникальный объект капитального строительства 6%. (не допускается указать "до ….%").</w:t>
            </w:r>
          </w:p>
        </w:tc>
      </w:tr>
      <w:tr>
        <w:trPr>
          <w:trHeight w:val="2970" w:hRule="atLeast"/>
        </w:trPr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Cs w:val="24"/>
                <w:lang w:eastAsia="ru-RU"/>
              </w:rPr>
              <w:t>9</w:t>
            </w:r>
          </w:p>
        </w:tc>
        <w:tc>
          <w:tcPr>
            <w:tcW w:w="34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Cs w:val="24"/>
                <w:lang w:eastAsia="ru-RU"/>
              </w:rPr>
              <w:t>Определение стоимости дополнительных работ, не учтенных объемами работ, в соответствии с техническими требованиями к основному договору</w:t>
            </w:r>
          </w:p>
        </w:tc>
        <w:tc>
          <w:tcPr>
            <w:tcW w:w="58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Cs w:val="24"/>
                <w:lang w:eastAsia="ru-RU"/>
              </w:rPr>
              <w:t xml:space="preserve">а) стоимость дополнительных строительно-монтажных работ рассчитывается в соответствии с актуальными требованиями ОАО «РусГидро» к оформлению и составлению сметной документации. Локальные сметные расчеты на дополнительные строительно-монтажные работы составляются с применением расценок зарегистрированных в установленном порядке и внесенных в Федеральный реестр сметных нормативов  сметно-нормативной базы, действующей на момент составления сметной документации. Пересчет в текущие цены осуществляется  с применением индексов пересчета, действующих </w:t>
            </w:r>
            <w:r>
              <w:rPr>
                <w:rFonts w:eastAsia="Times New Roman" w:cs="Times New Roman" w:ascii="Times New Roman" w:hAnsi="Times New Roman"/>
                <w:szCs w:val="24"/>
                <w:u w:val="single"/>
                <w:lang w:eastAsia="ru-RU"/>
              </w:rPr>
              <w:t>на момент составления сметной документации на дополнительные работы</w:t>
            </w:r>
            <w:r>
              <w:rPr>
                <w:rFonts w:eastAsia="Times New Roman" w:cs="Times New Roman" w:ascii="Times New Roman" w:hAnsi="Times New Roman"/>
                <w:szCs w:val="24"/>
                <w:lang w:eastAsia="ru-RU"/>
              </w:rPr>
              <w:t>.</w:t>
              <w:br/>
              <w:t>б) в соответствии с условиями ценообразования, учтенными в сметной документации к договору.</w:t>
            </w:r>
          </w:p>
        </w:tc>
        <w:tc>
          <w:tcPr>
            <w:tcW w:w="22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Cs w:val="24"/>
                <w:lang w:eastAsia="ru-RU"/>
              </w:rPr>
              <w:t>а)</w:t>
            </w:r>
          </w:p>
        </w:tc>
        <w:tc>
          <w:tcPr>
            <w:tcW w:w="38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Cs w:val="24"/>
                <w:lang w:eastAsia="ru-RU"/>
              </w:rPr>
              <w:t> </w:t>
            </w:r>
          </w:p>
        </w:tc>
      </w:tr>
      <w:tr>
        <w:trPr>
          <w:trHeight w:val="2475" w:hRule="atLeast"/>
        </w:trPr>
        <w:tc>
          <w:tcPr>
            <w:tcW w:w="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Cs w:val="24"/>
                <w:lang w:eastAsia="ru-RU"/>
              </w:rPr>
              <w:t>10</w:t>
            </w:r>
          </w:p>
        </w:tc>
        <w:tc>
          <w:tcPr>
            <w:tcW w:w="34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Cs w:val="24"/>
                <w:lang w:eastAsia="ru-RU"/>
              </w:rPr>
              <w:t>Решение спорных вопросов</w:t>
            </w:r>
          </w:p>
        </w:tc>
        <w:tc>
          <w:tcPr>
            <w:tcW w:w="587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Cs w:val="24"/>
                <w:lang w:eastAsia="ru-RU"/>
              </w:rPr>
              <w:t>а) При возникновении спорных вопросов по ценообразованию в части составления сметной документации подрядчик готовит проект  письма-обращения в Минрегион РФ с приложением всех необходимых документов, обоснований, и направляет его на согласование Заказчику. Заказчик при необходимости дополняет, согласовывает и подписывает данное письмо-обращение и направляет его в Минрегион РФ. Рекомендации, изложенные в письме-разъяснении Минрегиона РФ являются основанием для разрешения споров. При отсутствии четкого ответа, решение по спорным вопросам принимает Заказчик. Данное решение является окончательным.</w:t>
            </w:r>
          </w:p>
        </w:tc>
        <w:tc>
          <w:tcPr>
            <w:tcW w:w="22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Cs w:val="24"/>
                <w:lang w:eastAsia="ru-RU"/>
              </w:rPr>
              <w:t>а)</w:t>
            </w:r>
          </w:p>
        </w:tc>
        <w:tc>
          <w:tcPr>
            <w:tcW w:w="388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Cs w:val="24"/>
                <w:lang w:eastAsia="ru-RU"/>
              </w:rPr>
              <w:t> </w:t>
            </w:r>
          </w:p>
        </w:tc>
      </w:tr>
      <w:tr>
        <w:trPr>
          <w:trHeight w:val="4380" w:hRule="atLeast"/>
        </w:trPr>
        <w:tc>
          <w:tcPr>
            <w:tcW w:w="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Cs w:val="24"/>
                <w:lang w:eastAsia="ru-RU"/>
              </w:rPr>
              <w:t>11</w:t>
            </w:r>
          </w:p>
        </w:tc>
        <w:tc>
          <w:tcPr>
            <w:tcW w:w="34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Cs w:val="24"/>
                <w:lang w:eastAsia="ru-RU"/>
              </w:rPr>
              <w:t xml:space="preserve">Командировочные расходы </w:t>
            </w:r>
          </w:p>
        </w:tc>
        <w:tc>
          <w:tcPr>
            <w:tcW w:w="587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Cs w:val="24"/>
                <w:lang w:eastAsia="ru-RU"/>
              </w:rPr>
              <w:t xml:space="preserve">а) Составляется предварительный расчет стоимости командировочных расходов. Размер суточных командировочных расходов определить в соответствии с Федеральным законом от 24 июля 2007 г. N 216-ФЗ с 1 января 2008 года при оплате работодателем налогоплательщику расходов на командировки внутри страны, подлежащий налогообложению, не включаются суточные, выплачиваемые в соответствии с законодательством РФ, но не более 700 рублей за каждый день нахождения в командировке на территории РФ и с учетом норм определяемых внутренним документом организации. Лимиты командировочных расходов при производстве СМР и ПНР:• Суточные  500руб.;• Проживание  400руб.;• Проезд поезд купе или самолет (класс – эконом). лимиты командировочных расходов при производстве НИР, НИОКР и ПИР:• Суточные  700руб.;• Проживание  3500 руб.;• Проезд поезд купе или самолет (класс – эконом). </w:t>
            </w:r>
          </w:p>
        </w:tc>
        <w:tc>
          <w:tcPr>
            <w:tcW w:w="22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Cs w:val="24"/>
                <w:lang w:eastAsia="ru-RU"/>
              </w:rPr>
              <w:t>а)</w:t>
            </w:r>
          </w:p>
        </w:tc>
        <w:tc>
          <w:tcPr>
            <w:tcW w:w="388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Cs w:val="24"/>
                <w:lang w:eastAsia="ru-RU"/>
              </w:rPr>
              <w:t>Данные лимиты могут быть пересмотрены в зависимости от региона расположения объекта работ (по согласованию с ДМиЦ на этапе заключения договора/дополнительного соглашения, сметчиками филиала при подписании договора на филиале).</w:t>
            </w:r>
          </w:p>
        </w:tc>
      </w:tr>
      <w:tr>
        <w:trPr>
          <w:trHeight w:val="758" w:hRule="atLeast"/>
        </w:trPr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Cs w:val="24"/>
                <w:lang w:eastAsia="ru-RU"/>
              </w:rPr>
              <w:t>12</w:t>
            </w:r>
          </w:p>
        </w:tc>
        <w:tc>
          <w:tcPr>
            <w:tcW w:w="34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Cs w:val="24"/>
                <w:lang w:eastAsia="ru-RU"/>
              </w:rPr>
              <w:t>Шеф-монтажные работы</w:t>
            </w:r>
          </w:p>
        </w:tc>
        <w:tc>
          <w:tcPr>
            <w:tcW w:w="58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Cs w:val="24"/>
                <w:lang w:eastAsia="ru-RU"/>
              </w:rPr>
              <w:t xml:space="preserve">а) Стоимость шеф-монтажных и шеф-наладочных работ определяется отдельным расчетом. Расчет стоимости шеф-монтажных работ выполняется по форме 3П, с предоставлением подтверждающих документов по уровню заработной платы, удельному весу накладных расходов в себестоимости, уровню рентабельности. Участник представляет смету на шеф-монтажные работы в соответствии с графиком выполнения работ. При изменении графика выполнения работ по вине Заказчика, и выполнении работ по требованию Заказчика </w:t>
            </w:r>
            <w:r>
              <w:rPr>
                <w:rFonts w:eastAsia="Times New Roman" w:cs="Times New Roman" w:ascii="Times New Roman" w:hAnsi="Times New Roman"/>
                <w:szCs w:val="24"/>
                <w:u w:val="single"/>
                <w:lang w:eastAsia="ru-RU"/>
              </w:rPr>
              <w:t>сверхурочно,</w:t>
            </w:r>
            <w:r>
              <w:rPr>
                <w:rFonts w:eastAsia="Times New Roman" w:cs="Times New Roman" w:ascii="Times New Roman" w:hAnsi="Times New Roman"/>
                <w:szCs w:val="24"/>
                <w:lang w:eastAsia="ru-RU"/>
              </w:rPr>
              <w:t xml:space="preserve"> не по вине Подрядчика, в расчете стоимости шеф-монтажных работ, выполняемых сверхурочно стоимость человеко-часа увеличивается не более чем на 30%. При проведении пусконаладочных работ шеф-монтажными организациями, стоимость этих работ уменьшается согласно технической части соответствующих сборников</w:t>
            </w:r>
          </w:p>
        </w:tc>
        <w:tc>
          <w:tcPr>
            <w:tcW w:w="22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Cs w:val="24"/>
                <w:lang w:eastAsia="ru-RU"/>
              </w:rPr>
              <w:t>а)</w:t>
            </w:r>
          </w:p>
        </w:tc>
        <w:tc>
          <w:tcPr>
            <w:tcW w:w="38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Cs w:val="24"/>
                <w:lang w:eastAsia="ru-RU"/>
              </w:rPr>
              <w:t>Стоимость шеф-монтажных и шеф-наладочных работ в стоимость оборудования не включается. В ССР данные затраты относятся на стоимость оборудования.</w:t>
            </w:r>
          </w:p>
        </w:tc>
      </w:tr>
      <w:tr>
        <w:trPr>
          <w:trHeight w:val="480" w:hRule="atLeast"/>
        </w:trPr>
        <w:tc>
          <w:tcPr>
            <w:tcW w:w="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Cs w:val="24"/>
                <w:lang w:eastAsia="ru-RU"/>
              </w:rPr>
              <w:t>13</w:t>
            </w:r>
          </w:p>
        </w:tc>
        <w:tc>
          <w:tcPr>
            <w:tcW w:w="34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Cs w:val="24"/>
                <w:lang w:eastAsia="ru-RU"/>
              </w:rPr>
              <w:t>Доводка оборудования***</w:t>
            </w:r>
          </w:p>
        </w:tc>
        <w:tc>
          <w:tcPr>
            <w:tcW w:w="587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Cs w:val="24"/>
                <w:lang w:eastAsia="ru-RU"/>
              </w:rPr>
              <w:t>а) Стоимость доводки оборудования включается в стоимость оборудования и дополнительно не оплачива</w:t>
            </w:r>
          </w:p>
        </w:tc>
        <w:tc>
          <w:tcPr>
            <w:tcW w:w="22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Cs w:val="24"/>
                <w:lang w:eastAsia="ru-RU"/>
              </w:rPr>
              <w:t>а)</w:t>
            </w:r>
          </w:p>
        </w:tc>
        <w:tc>
          <w:tcPr>
            <w:tcW w:w="388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Cs w:val="24"/>
                <w:lang w:eastAsia="ru-RU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41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Cs w:val="24"/>
                <w:lang w:eastAsia="ru-RU"/>
              </w:rPr>
            </w:r>
          </w:p>
        </w:tc>
        <w:tc>
          <w:tcPr>
            <w:tcW w:w="348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Cs w:val="24"/>
                <w:lang w:eastAsia="ru-RU"/>
              </w:rPr>
            </w:r>
          </w:p>
        </w:tc>
        <w:tc>
          <w:tcPr>
            <w:tcW w:w="587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Cs w:val="24"/>
                <w:lang w:eastAsia="ru-RU"/>
              </w:rPr>
            </w:r>
          </w:p>
        </w:tc>
        <w:tc>
          <w:tcPr>
            <w:tcW w:w="221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Cs w:val="24"/>
                <w:lang w:eastAsia="ru-RU"/>
              </w:rPr>
            </w:r>
          </w:p>
        </w:tc>
        <w:tc>
          <w:tcPr>
            <w:tcW w:w="3887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Cs w:val="24"/>
                <w:lang w:eastAsia="ru-RU"/>
              </w:rPr>
            </w:r>
          </w:p>
        </w:tc>
      </w:tr>
      <w:tr>
        <w:trPr>
          <w:trHeight w:val="300" w:hRule="atLeast"/>
        </w:trPr>
        <w:tc>
          <w:tcPr>
            <w:tcW w:w="15877" w:type="dxa"/>
            <w:gridSpan w:val="5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Cs w:val="24"/>
                <w:lang w:eastAsia="ru-RU"/>
              </w:rPr>
              <w:t>* - необходимо указать один из вариантов:  а), б), в), или г). В таблице указаны варианты для примера, рекомендуемые ДМиЦ по большинству договоров</w:t>
            </w:r>
          </w:p>
        </w:tc>
      </w:tr>
      <w:tr>
        <w:trPr>
          <w:trHeight w:val="780" w:hRule="atLeast"/>
        </w:trPr>
        <w:tc>
          <w:tcPr>
            <w:tcW w:w="15877" w:type="dxa"/>
            <w:gridSpan w:val="5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Cs w:val="24"/>
                <w:lang w:eastAsia="ru-RU"/>
              </w:rPr>
              <w:t>** - данный вариант в настоящее время находится в стадии разработки и подлежит включению как условие Заказчика после его согласования со всеми заинтересованными подразделениями ОАО "РусГидро"</w:t>
            </w:r>
          </w:p>
        </w:tc>
      </w:tr>
      <w:tr>
        <w:trPr>
          <w:trHeight w:val="990" w:hRule="atLeast"/>
        </w:trPr>
        <w:tc>
          <w:tcPr>
            <w:tcW w:w="15877" w:type="dxa"/>
            <w:gridSpan w:val="5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Cs w:val="24"/>
                <w:lang w:eastAsia="ru-RU"/>
              </w:rPr>
              <w:t>***-доизготовление (доработка и укрупнительная сборка) в построечных условиях оборудования, как правило, крупногабаритного и тяжеловесного, отгруженного на стройплощадку заводом-изготовителем в виде отдельных узлов и деталей (за исключением доизготовления, проводимого в составе монтажных работ)</w:t>
            </w:r>
          </w:p>
        </w:tc>
      </w:tr>
    </w:tbl>
    <w:p>
      <w:pPr>
        <w:pStyle w:val="Normal"/>
        <w:suppressAutoHyphens w:val="true"/>
        <w:spacing w:lineRule="auto" w:line="240" w:before="0" w:after="0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left="5812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left="5812" w:hanging="0"/>
        <w:rPr>
          <w:rFonts w:ascii="Times New Roman" w:hAnsi="Times New Roman" w:cs="Times New Roman"/>
          <w:sz w:val="28"/>
          <w:szCs w:val="28"/>
        </w:rPr>
      </w:pPr>
      <w:r>
        <w:rPr/>
      </w:r>
    </w:p>
    <w:sectPr>
      <w:footerReference w:type="even" r:id="rId2"/>
      <w:footerReference w:type="default" r:id="rId3"/>
      <w:footerReference w:type="first" r:id="rId4"/>
      <w:footnotePr>
        <w:numFmt w:val="decimal"/>
        <w:numRestart w:val="eachPage"/>
      </w:footnotePr>
      <w:type w:val="nextPage"/>
      <w:pgSz w:w="11906" w:h="16838"/>
      <w:pgMar w:left="1701" w:right="851" w:gutter="0" w:header="0" w:top="709" w:footer="709" w:bottom="1353"/>
      <w:pgNumType w:fmt="decimal"/>
      <w:formProt w:val="false"/>
      <w:titlePg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Symbol">
    <w:charset w:val="02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20</w:t>
    </w:r>
    <w:r>
      <w:rPr/>
      <w:fldChar w:fldCharType="end"/>
    </w:r>
  </w:p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16</w:t>
    </w:r>
    <w:r>
      <w:rPr/>
      <w:fldChar w:fldCharType="end"/>
    </w:r>
  </w:p>
  <w:p>
    <w:pPr>
      <w:pStyle w:val="Footer"/>
      <w:rPr/>
    </w:pPr>
    <w:r>
      <w:rPr/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FootnoteText"/>
        <w:rPr/>
      </w:pPr>
      <w:r>
        <w:rPr>
          <w:rStyle w:val="Style13"/>
        </w:rPr>
        <w:footnoteRef/>
      </w:r>
      <w:r>
        <w:rPr/>
        <w:t xml:space="preserve"> </w:t>
      </w:r>
      <w:r>
        <w:rPr/>
        <w:t>Если в организации функции главного бухгалтера выполняет генеральный директор – ставится только его виза.</w:t>
      </w:r>
    </w:p>
    <w:p>
      <w:pPr>
        <w:pStyle w:val="FootnoteText"/>
        <w:rPr/>
      </w:pPr>
      <w:r>
        <w:rPr/>
        <w:t>*Возможно предоставление иной формы справки в соответствии с внутренним документооборотом организации.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fals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/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0"/>
        </w:tabs>
        <w:ind w:left="1713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43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15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87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59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31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03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75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473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0"/>
        </w:tabs>
        <w:ind w:left="1713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43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15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87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59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31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03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75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473" w:hanging="360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0"/>
        </w:tabs>
        <w:ind w:left="1713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43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15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87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59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31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03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75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473" w:hanging="360"/>
      </w:pPr>
      <w:rPr>
        <w:rFonts w:ascii="Wingdings" w:hAnsi="Wingdings" w:cs="Wingdings" w:hint="default"/>
      </w:rPr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eastAsia="Calibri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footnotePr>
    <w:numFmt w:val="decimal"/>
    <w:numRestart w:val="eachPage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fals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enumber">
    <w:name w:val="line number"/>
    <w:basedOn w:val="DefaultParagraphFont"/>
    <w:uiPriority w:val="99"/>
    <w:semiHidden/>
    <w:unhideWhenUsed/>
    <w:qFormat/>
    <w:rsid w:val="001e2ed5"/>
    <w:rPr/>
  </w:style>
  <w:style w:type="character" w:styleId="Style9" w:customStyle="1">
    <w:name w:val="Текст сноски Знак"/>
    <w:basedOn w:val="DefaultParagraphFont"/>
    <w:uiPriority w:val="99"/>
    <w:qFormat/>
    <w:rsid w:val="004223b9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Emphasis">
    <w:name w:val="Emphasis"/>
    <w:qFormat/>
    <w:rsid w:val="00e4014e"/>
    <w:rPr>
      <w:i/>
      <w:iCs/>
    </w:rPr>
  </w:style>
  <w:style w:type="character" w:styleId="Style10" w:customStyle="1">
    <w:name w:val="Текст выноски Знак"/>
    <w:basedOn w:val="DefaultParagraphFont"/>
    <w:link w:val="BalloonText"/>
    <w:uiPriority w:val="99"/>
    <w:semiHidden/>
    <w:qFormat/>
    <w:rsid w:val="00807618"/>
    <w:rPr>
      <w:rFonts w:ascii="Tahoma" w:hAnsi="Tahoma" w:cs="Tahoma"/>
      <w:sz w:val="16"/>
      <w:szCs w:val="16"/>
    </w:rPr>
  </w:style>
  <w:style w:type="character" w:styleId="FontStyle29" w:customStyle="1">
    <w:name w:val="Font Style29"/>
    <w:qFormat/>
    <w:rsid w:val="00a56a86"/>
    <w:rPr>
      <w:rFonts w:ascii="Times New Roman" w:hAnsi="Times New Roman" w:cs="Times New Roman"/>
      <w:sz w:val="20"/>
      <w:szCs w:val="20"/>
    </w:rPr>
  </w:style>
  <w:style w:type="character" w:styleId="Style11" w:customStyle="1">
    <w:name w:val="Нижний колонтитул Знак"/>
    <w:basedOn w:val="DefaultParagraphFont"/>
    <w:uiPriority w:val="99"/>
    <w:qFormat/>
    <w:rsid w:val="00fa4387"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4" w:customStyle="1">
    <w:name w:val="Основной текст (4)_"/>
    <w:basedOn w:val="DefaultParagraphFont"/>
    <w:link w:val="41"/>
    <w:qFormat/>
    <w:rsid w:val="00d4035d"/>
    <w:rPr>
      <w:rFonts w:ascii="Times New Roman" w:hAnsi="Times New Roman" w:eastAsia="Times New Roman" w:cs="Times New Roman"/>
      <w:spacing w:val="-10"/>
      <w:sz w:val="25"/>
      <w:szCs w:val="25"/>
      <w:shd w:fill="FFFFFF" w:val="clear"/>
    </w:rPr>
  </w:style>
  <w:style w:type="character" w:styleId="Style12" w:customStyle="1">
    <w:name w:val="Основной текст_"/>
    <w:basedOn w:val="DefaultParagraphFont"/>
    <w:link w:val="2"/>
    <w:qFormat/>
    <w:rsid w:val="00683314"/>
    <w:rPr>
      <w:rFonts w:ascii="Times New Roman" w:hAnsi="Times New Roman" w:eastAsia="Times New Roman" w:cs="Times New Roman"/>
      <w:sz w:val="25"/>
      <w:szCs w:val="25"/>
      <w:shd w:fill="FFFFFF" w:val="clear"/>
    </w:rPr>
  </w:style>
  <w:style w:type="character" w:styleId="105pt" w:customStyle="1">
    <w:name w:val="Основной текст + 10;5 pt"/>
    <w:basedOn w:val="Style12"/>
    <w:qFormat/>
    <w:rsid w:val="00683314"/>
    <w:rPr>
      <w:rFonts w:ascii="Times New Roman" w:hAnsi="Times New Roman" w:eastAsia="Times New Roman" w:cs="Times New Roman"/>
      <w:color w:val="000000"/>
      <w:spacing w:val="0"/>
      <w:w w:val="100"/>
      <w:sz w:val="21"/>
      <w:szCs w:val="21"/>
      <w:shd w:fill="FFFFFF" w:val="clear"/>
      <w:lang w:val="ru-RU"/>
    </w:rPr>
  </w:style>
  <w:style w:type="character" w:styleId="Style13">
    <w:name w:val="Символ сноски"/>
    <w:uiPriority w:val="99"/>
    <w:semiHidden/>
    <w:unhideWhenUsed/>
    <w:qFormat/>
    <w:rsid w:val="00900e5b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14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/>
  </w:style>
  <w:style w:type="paragraph" w:styleId="NoSpacing">
    <w:name w:val="No Spacing"/>
    <w:uiPriority w:val="1"/>
    <w:qFormat/>
    <w:rsid w:val="00967e97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ListParagraph">
    <w:name w:val="List Paragraph"/>
    <w:basedOn w:val="Normal"/>
    <w:uiPriority w:val="34"/>
    <w:qFormat/>
    <w:rsid w:val="007374b2"/>
    <w:pPr>
      <w:spacing w:before="0" w:after="200"/>
      <w:ind w:left="720" w:hanging="0"/>
      <w:contextualSpacing/>
    </w:pPr>
    <w:rPr/>
  </w:style>
  <w:style w:type="paragraph" w:styleId="FootnoteText">
    <w:name w:val="Footnote Text"/>
    <w:basedOn w:val="Normal"/>
    <w:link w:val="Style9"/>
    <w:uiPriority w:val="99"/>
    <w:rsid w:val="004223b9"/>
    <w:pPr>
      <w:spacing w:lineRule="auto" w:line="240" w:before="0" w:after="0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ConsPlusNormal" w:customStyle="1">
    <w:name w:val="ConsPlusNormal"/>
    <w:qFormat/>
    <w:rsid w:val="00b452a2"/>
    <w:pPr>
      <w:widowControl w:val="false"/>
      <w:suppressAutoHyphens w:val="true"/>
      <w:bidi w:val="0"/>
      <w:spacing w:lineRule="auto" w:line="240"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BalloonText">
    <w:name w:val="Balloon Text"/>
    <w:basedOn w:val="Normal"/>
    <w:link w:val="Style10"/>
    <w:uiPriority w:val="99"/>
    <w:semiHidden/>
    <w:unhideWhenUsed/>
    <w:qFormat/>
    <w:rsid w:val="0080761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17">
    <w:name w:val="Колонтитул"/>
    <w:basedOn w:val="Normal"/>
    <w:qFormat/>
    <w:pPr/>
    <w:rPr/>
  </w:style>
  <w:style w:type="paragraph" w:styleId="Footer">
    <w:name w:val="Footer"/>
    <w:basedOn w:val="Normal"/>
    <w:link w:val="Style11"/>
    <w:uiPriority w:val="99"/>
    <w:rsid w:val="00fa4387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41" w:customStyle="1">
    <w:name w:val="Основной текст (4)"/>
    <w:basedOn w:val="Normal"/>
    <w:link w:val="4"/>
    <w:qFormat/>
    <w:rsid w:val="00d4035d"/>
    <w:pPr>
      <w:widowControl w:val="false"/>
      <w:shd w:val="clear" w:color="auto" w:fill="FFFFFF"/>
      <w:spacing w:lineRule="atLeast" w:line="0" w:before="7980" w:after="0"/>
      <w:ind w:hanging="380"/>
    </w:pPr>
    <w:rPr>
      <w:rFonts w:ascii="Times New Roman" w:hAnsi="Times New Roman" w:eastAsia="Times New Roman" w:cs="Times New Roman"/>
      <w:spacing w:val="-10"/>
      <w:sz w:val="25"/>
      <w:szCs w:val="25"/>
    </w:rPr>
  </w:style>
  <w:style w:type="paragraph" w:styleId="2" w:customStyle="1">
    <w:name w:val="Основной текст2"/>
    <w:basedOn w:val="Normal"/>
    <w:link w:val="Style12"/>
    <w:qFormat/>
    <w:rsid w:val="00683314"/>
    <w:pPr>
      <w:widowControl w:val="false"/>
      <w:shd w:val="clear" w:color="auto" w:fill="FFFFFF"/>
      <w:spacing w:lineRule="atLeast" w:line="0" w:before="0" w:after="60"/>
      <w:jc w:val="both"/>
    </w:pPr>
    <w:rPr>
      <w:rFonts w:ascii="Times New Roman" w:hAnsi="Times New Roman" w:eastAsia="Times New Roman" w:cs="Times New Roman"/>
      <w:sz w:val="25"/>
      <w:szCs w:val="25"/>
    </w:rPr>
  </w:style>
  <w:style w:type="paragraph" w:styleId="Style18">
    <w:name w:val="Содержимое таблицы"/>
    <w:basedOn w:val="Normal"/>
    <w:qFormat/>
    <w:pPr>
      <w:widowControl w:val="false"/>
      <w:suppressLineNumbers/>
    </w:pPr>
    <w:rPr/>
  </w:style>
  <w:style w:type="paragraph" w:styleId="Style19">
    <w:name w:val="Заголовок таблицы"/>
    <w:basedOn w:val="Style18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uiPriority w:val="59"/>
    <w:rsid w:val="004223b9"/>
    <w:pPr>
      <w:spacing w:after="0" w:line="240" w:lineRule="auto"/>
    </w:pPr>
    <w:rPr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a8">
    <w:name w:val="Table Grid"/>
    <w:basedOn w:val="a1"/>
    <w:uiPriority w:val="59"/>
    <w:rsid w:val="004223b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">
    <w:name w:val="Сетка таблицы2"/>
    <w:basedOn w:val="a1"/>
    <w:rsid w:val="007152b6"/>
    <w:pPr>
      <w:spacing w:after="0" w:line="240" w:lineRule="auto"/>
    </w:pPr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otnotes" Target="footnotes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DEE193-B013-4822-A34C-110F59C926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Application>AlterOffice/3.4.0.8$Linux_X86_64 LibreOffice_project/8f3f3c847f0b8d6fea24e251d3d8ed4f23cbe23c</Application>
  <AppVersion>15.0000</AppVersion>
  <Pages>20</Pages>
  <Words>4515</Words>
  <Characters>33481</Characters>
  <CharactersWithSpaces>39239</CharactersWithSpaces>
  <Paragraphs>523</Paragraphs>
  <Company>РусГидро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2019-10-15T13:30:00Z</dcterms:created>
  <dc:creator>Батырмурзаев Абдула Абдулаевич</dc:creator>
  <dc:description/>
  <dc:language>ru-RU</dc:language>
  <cp:lastModifiedBy>Магомедхабиб Алиевич Абдулаев</cp:lastModifiedBy>
  <cp:lastPrinted>2025-01-29T12:31:14Z</cp:lastPrinted>
  <dcterms:modified xsi:type="dcterms:W3CDTF">2025-01-29T12:30:50Z</dcterms:modified>
  <cp:revision>45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