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27.3</w:t>
      </w:r>
      <w:r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 xml:space="preserve"> Поставка электроустановочные изделия ДКС для Чиркейской ГЭС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新細明體" w:cs="Arial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Сокращение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Расшифровка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ДКС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Система кабеленесущих элементов (торговая марка)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suppressAutoHyphens w:val="true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ОКПД2 [27.3] Поставка материалов кабеленесущих систем (ДКС) и электроустановочные изделия для Чиркейской ГЭС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bookmarkStart w:id="9" w:name="_Toc75446570"/>
      <w:bookmarkStart w:id="10" w:name="_Toc46743508"/>
      <w:bookmarkEnd w:id="9"/>
      <w:bookmarkEnd w:id="10"/>
      <w:r>
        <w:rPr>
          <w:sz w:val="24"/>
          <w:szCs w:val="24"/>
        </w:rPr>
        <w:t>В рамках выполнения работ по техническому перевооружению гидроагрегатов, реконструкции помещений АСУТП, для монтажа кабельных металлоконструкций (лотков, профилей, консолей, крепежа) и электроустановочных изделий на объектах Заказчика.</w:t>
      </w:r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Start w:id="13" w:name="_Toc75446570_Копия_1"/>
      <w:bookmarkStart w:id="14" w:name="_Toc46743508_Копия_1"/>
      <w:bookmarkStart w:id="15" w:name="_Toc50125126"/>
      <w:bookmarkEnd w:id="13"/>
      <w:bookmarkEnd w:id="14"/>
      <w:bookmarkEnd w:id="15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911" w:type="dxa"/>
        <w:jc w:val="left"/>
        <w:tblInd w:w="0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noVBand="1" w:val="04a0" w:noHBand="0" w:lastColumn="0" w:firstColumn="1" w:lastRow="0" w:firstRow="1"/>
      </w:tblPr>
      <w:tblGrid>
        <w:gridCol w:w="679"/>
        <w:gridCol w:w="6396"/>
        <w:gridCol w:w="1072"/>
        <w:gridCol w:w="1763"/>
      </w:tblGrid>
      <w:tr>
        <w:trPr>
          <w:tblHeader w:val="true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 xml:space="preserve">№ </w:t>
            </w:r>
            <w:r>
              <w:rPr>
                <w:b/>
                <w:color w:val="0F1115"/>
                <w:sz w:val="24"/>
                <w:szCs w:val="24"/>
              </w:rPr>
              <w:t>п/п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Наименование продукции (тип, марка, код/артикул)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монтажная двухлапковая СМД 31-32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монтажная двухлапковая СМД 25-26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Стяжка кабельная нейлоновая КСС 8х300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750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 xml:space="preserve">Держатель оцинкованный двусторонний </w:t>
            </w:r>
            <w:r>
              <w:rPr>
                <w:rFonts w:cs="Cambria Math" w:ascii="Cambria Math" w:hAnsi="Cambria Math"/>
                <w:color w:val="0F1115"/>
                <w:sz w:val="24"/>
                <w:szCs w:val="24"/>
              </w:rPr>
              <w:t>∅</w:t>
            </w:r>
            <w:r>
              <w:rPr>
                <w:color w:val="0F1115"/>
                <w:sz w:val="24"/>
                <w:szCs w:val="24"/>
              </w:rPr>
              <w:t>25-26, 53357R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Дюбель пластиковый с саморезом F8 М8х60, СМ06542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Анкер со шпилькой М10х90 CM441060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17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односторонний, д.20мм с крепежным отверстием 6,5х5 мм 53342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750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18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двусторонний, д.50мм, с крепежными отверстиями 8,5х6 мм 53361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19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Винт М4х45 мм с дюбелем M8 6551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1050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20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М25х1,5 код 6006-25А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21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М20х1,5 код 6006-20А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23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двусторонний код 53357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457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Саморез 3,5х50мм с дюбелем для монтажа к гипсокартону, плитам или бетону код 06541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1230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хомутиком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26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Крепёжный комплект для хомутов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29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для открытой проводки, одноклавишный, 10А, 220В, IP44 А110-015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серии «Brava», 2 модуля, открытой установки, 250В, 16А, IP20 (арт. 76002В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31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серии «Brava», 1 модуль, открытой установки, 250В, 16А, IP20 (арт. 76001В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32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Переключатель (проходной выключатель) серии «Brava», 2 модуля, открытой установки, 250В, 16А, IP20 (арт. 76012В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Розетка штепсельная защищенная для открытой проводки с заземляющим контактом, 16А, 250В, IP44 РА16-112Б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Силовая электрическая розетка штекерная с заземлением и со шторками (арт. 76482В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Подрозеточная коробка для сплошных стен, черная под 2 модуля (арт. 59301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36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Рамка для монтажа ЭУИ «Brava» в стены (арт. 75010W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37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Каркас для монтажа ЭУИ «Brava» в стены (арт. 75020W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38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Кабель-канал с крышкой, с направляющими для установки разделителей TA-GN 80х40 (арт. 01781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39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Рамка-суппорт на 2 модуля для монтажа розеток в короб TA-GN PDA-BN (арт. 10443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40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Разделитель (перегородка) SEP-N-40 (арт. 09514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41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внутренний изменяемый 70-120 град. NIAV (арт. 01724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42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внешний изменяемый 70-120 град. NEAV (арт. 01708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43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Накладка на стык профиля SGAN (арт. 00823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Накладка на стык крышки GAN (арт. 00886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Заглушка для короба торцевая LAN (арт. 00871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46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Коробка ответвительная 100х100х50, IP55 (арт. 53800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159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48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хомутиком (арт. 51263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2200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49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Дюбель пластиковый с саморезом V5 (арт. СМ06521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52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Шпилька резьбовая М10х2000 (арт. СМ201002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53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Забивной анкер М10 (арт. СМ401040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54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с насечкой DIN 6923 М10 (арт. СМ101000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640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Винт с крестообразным шлицем и квадратным подголовником М6х16 (арт. СМ010616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56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с насечкой DIN 6923 М6 (арт. СМ100600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57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Шайба кузовная DIN 9021 М6 (арт. СМ120600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58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Соединительная гайка М10х30 DIN 6334 (арт. CM211030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59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ВМТ-10 под лоток осн. 100мм (арт. ВМТ1010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36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60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Пластина монтажная (арт. LP3000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61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Переключатель брызгозащищенный открытой установки в сборе 220В, 106А, IP44 А610-326 (Кунцево-Электро)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65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хомутом (арт. 51263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385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75446579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Все позиции согласно Таблице 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color w:val="0F1115"/>
                <w:sz w:val="24"/>
                <w:szCs w:val="24"/>
              </w:rPr>
              <w:t>В течение 30 календарных дней с даты заключения договора</w:t>
            </w:r>
            <w:bookmarkEnd w:id="2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(Все позиции согласно Таблице 1.1): </w:t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1739"/>
        <w:gridCol w:w="30"/>
        <w:gridCol w:w="31"/>
        <w:gridCol w:w="12"/>
        <w:gridCol w:w="2986"/>
        <w:gridCol w:w="2991"/>
        <w:gridCol w:w="3261"/>
        <w:gridCol w:w="3407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2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2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каждой позиции</w:t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1.1 настоящих ТТ (тип, марка, код)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Электроустановочные изделия должны соответствовать требованиям действующей НТД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сертификатов соответствия (при наличии) или декларации о соответствии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Пожарная 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Материалы кабеленесущих систем должны быть выполнены из негорючих или трудногорючих материалов (группа горючести не ниже Г1)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протоколов испытаний на горючесть (при наличии)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Антикоррозийная стойкость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Оцинкованные металлические изделия должны иметь равномерное цинковое покрытие без повреждений. Толщина покрытия – не менее 8 мкм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Прочность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Лотки, консоли, подвесы должны выдерживать нагрузку согласно заявленному типоразмеру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3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059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климатическому исполнению У3 по ГОСТ 15150-69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br/>
              <w:t>Место поставки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Поставка осуществляется на объект Заказчика (склад) по адресу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新細明體" w:cs="Times New Roman" w:eastAsiaTheme="minorEastAsia"/>
                <w:spacing w:val="-10"/>
                <w:kern w:val="0"/>
                <w:sz w:val="24"/>
                <w:szCs w:val="24"/>
                <w:lang w:val="ru-RU" w:eastAsia="ru-RU" w:bidi="ar-SA"/>
              </w:rPr>
              <w:t>368219, Россия, Республика Дагестан, Буйнакский район, Чиркейская ГЭС, от села Чиркей 13,5 км, координаты - 42°58′37′′ с. ш. 46°52′14′′ в.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 производится только в рабочие дни с 9:00 до 11:00 и с 14:00 до 16:00 по местному времени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Предоставление информации о транспорте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Информация о транспортном средстве, на котором осуществляется доставка (госномер, марка, время прибытия), для оформления пропуска/допуска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Упаковка и маркировка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упакована в заводскую упаковку, обеспечивающую сохранность при транспортировке и хранении. Маркировка должна содержать наименование продукции, количество, дату упаковки, наименование производителя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Ресурс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Назначенный срок службы продукции – не менее 10 лет для лотков, профилей, держателей; не менее 5 лет для электроустановочных изделий и расходных материалов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Гарантийный срок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не менее 36 (тридцати шести) месяцев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 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Гарантийное обслуживание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 свой счет устранять дефекты, возникшие по его вине, в срок не более 30 дней с момента получения претензии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Документы, передаваемые с продукцией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образом,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в электронном виде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 и на бумажном носителе):</w:t>
              <w:br/>
              <w:t>• инструкции по монтажу и эксплуатации на русском языке;</w:t>
              <w:br/>
              <w:t>• 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паспорта качества;</w:t>
              <w:br/>
              <w:t>• УПД или товарную накладную унифицированной формы ТОРГ-12 в 2 экз.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Стандарты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требованиям применимых ГОСТ, указанных в наименовании, а также DIN 6923, DIN 9021, ГОСТ 15150-69, ГОСТ Р ИСО 4017-2013 и др.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единицы продукции фиксируется в спецификации договора и не подлежит изменению в ходе поставки, если иное не предусмотрено договором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Указание цены за единицу в коммерческом предложении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Замена бракованной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случае выявления брака или несоответствия продукции требованиям, Поставщик обязан заменить продукцию за свой счет в течение 30 дней с момента получения уведомления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Новизна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новой (не бывшей в употреблении, не восстановленной, не прошедшей ремонт или замену составных частей, без восстановленных потребительских свойств)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Комплектность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укомплектована всеми необходимыми документами, выполнение требований которых является условием для гарантийных обязательств производителя или поставщика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Происхождение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Не установлено требований по происхождению продукции (допускается поставка российского и иностранного производства)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0"/>
          <w:numId w:val="0"/>
        </w:numPr>
        <w:ind w:left="1276" w:hanging="0"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>
          <w:lang w:val="ru-RU"/>
        </w:rPr>
      </w:pPr>
      <w:bookmarkStart w:id="32" w:name="_Toc75446584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2"/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bookmarkStart w:id="33" w:name="_Toc51339699"/>
      <w:bookmarkStart w:id="34" w:name="_Toc46743519"/>
      <w:r>
        <w:rPr>
          <w:color w:val="0F1115"/>
          <w:sz w:val="24"/>
          <w:szCs w:val="24"/>
          <w:shd w:fill="FFFFFF" w:val="clear"/>
        </w:rPr>
        <w:t>Дополнительная документация по ценообразованию на этапе заключения (исполнения) договора не требуется. Цена договора формируется как сумма произведений цены единицы продукции на фактически поставленное количество в пределах общей стоимости договора.</w:t>
      </w:r>
      <w:bookmarkEnd w:id="33"/>
      <w:bookmarkEnd w:id="34"/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s-markdown-paragraph" w:customStyle="1">
    <w:name w:val="ds-markdown-paragraph"/>
    <w:basedOn w:val="Normal"/>
    <w:qFormat/>
    <w:rsid w:val="00c270b3"/>
    <w:pPr>
      <w:spacing w:beforeAutospacing="1" w:afterAutospacing="1"/>
    </w:pPr>
    <w:rPr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520-500A-47EF-8B7D-EC4F37C0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AlterOffice/3.4.0.9$Linux_X86_64 LibreOffice_project/b8daf9e823b1a5463a2f48435ddc2e8696e7d4fc</Application>
  <AppVersion>15.0000</AppVersion>
  <Pages>15</Pages>
  <Words>1684</Words>
  <Characters>10349</Characters>
  <CharactersWithSpaces>11608</CharactersWithSpaces>
  <Paragraphs>453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2026-05-28T13:11:00Z</dcterms:created>
  <dc:creator>Быстров Олег Геннадьевич</dc:creator>
  <dc:description/>
  <dc:language>ru-RU</dc:language>
  <cp:lastModifiedBy>ramazanovaza@corp.gidroogk.com</cp:lastModifiedBy>
  <cp:lastPrinted>2006-07-26T14:04:00Z</cp:lastPrinted>
  <dcterms:modified xsi:type="dcterms:W3CDTF">2026-06-11T14:44:36Z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