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Директор Камчатского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_____________ / М.В. Нешев/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bookmarkStart w:id="0" w:name="_Toc137554584"/>
      <w:bookmarkStart w:id="1" w:name="_Toc141696704"/>
      <w:bookmarkStart w:id="2" w:name="_Toc139856287"/>
      <w:bookmarkEnd w:id="0"/>
      <w:bookmarkEnd w:id="1"/>
      <w:bookmarkEnd w:id="2"/>
      <w:r>
        <w:rPr>
          <w:sz w:val="24"/>
          <w:szCs w:val="24"/>
        </w:rPr>
        <w:t>«____» ___________ 2026 г.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numPr>
          <w:ilvl w:val="0"/>
          <w:numId w:val="13"/>
        </w:numPr>
        <w:suppressAutoHyphens w:val="false"/>
        <w:jc w:val="center"/>
        <w:rPr>
          <w:rFonts w:eastAsia="Calibri"/>
          <w:lang w:eastAsia="en-US"/>
        </w:rPr>
      </w:pPr>
      <w:bookmarkStart w:id="3" w:name="_Toc137554584_Копия_1"/>
      <w:bookmarkStart w:id="4" w:name="_Toc139856287_Копия_1"/>
      <w:bookmarkStart w:id="5" w:name="_Toc141696704_Копия_1"/>
      <w:bookmarkEnd w:id="3"/>
      <w:bookmarkEnd w:id="4"/>
      <w:bookmarkEnd w:id="5"/>
      <w:r>
        <w:rPr>
          <w:rFonts w:eastAsia="Calibri"/>
          <w:lang w:eastAsia="en-US"/>
        </w:rPr>
        <w:t>ОКПД 2: 71.20.19.190 Услуги по проведению экспертизы промышленной</w:t>
      </w:r>
    </w:p>
    <w:p>
      <w:pPr>
        <w:pStyle w:val="Normal"/>
        <w:keepNext w:val="true"/>
        <w:keepLines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безопасности подъемных сооружений для нужд Камчатского филиала АО "ТК РусГидро"</w:t>
      </w:r>
    </w:p>
    <w:p>
      <w:pPr>
        <w:pStyle w:val="Normal"/>
        <w:keepNext w:val="true"/>
        <w:keepLines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keepNext w:val="true"/>
        <w:keepLines/>
        <w:jc w:val="center"/>
        <w:rPr>
          <w:b/>
          <w:bCs/>
        </w:rPr>
      </w:pPr>
      <w:r>
        <w:rPr>
          <w:rFonts w:eastAsia="Calibri"/>
          <w:b/>
          <w:bCs/>
        </w:rPr>
        <w:t>Лот № 2087-ТО БЕЗ-2026-ТК-КФ</w:t>
      </w:r>
      <w:r>
        <w:br w:type="page"/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</w:t>
            </w:r>
            <w:r>
              <w:rPr>
                <w:rStyle w:val="Style14"/>
                <w:iCs/>
                <w:lang w:val="en-US"/>
              </w:rPr>
              <w:t>3</w:t>
            </w:r>
            <w:r>
              <w:rPr>
                <w:rStyle w:val="Style14"/>
                <w:iCs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117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  <w:t>118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6" w:name="_Toc54643694"/>
      <w:r>
        <w:rPr>
          <w:lang w:val="ru-RU"/>
        </w:rPr>
        <w:t>Общие сведения</w:t>
      </w:r>
      <w:bookmarkEnd w:id="6"/>
    </w:p>
    <w:p>
      <w:pPr>
        <w:pStyle w:val="Heading4"/>
        <w:numPr>
          <w:ilvl w:val="1"/>
          <w:numId w:val="3"/>
        </w:numPr>
        <w:rPr/>
      </w:pPr>
      <w:bookmarkStart w:id="7" w:name="_Toc46743505"/>
      <w:bookmarkStart w:id="8" w:name="_Toc54643695"/>
      <w:r>
        <w:rPr/>
        <w:t>Обозначения и сокращения</w:t>
      </w:r>
      <w:bookmarkEnd w:id="7"/>
      <w:bookmarkEnd w:id="8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НПА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Нормативно-правовой акт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/>
              <w:t>ТУ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/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bookmarkStart w:id="9" w:name="_Toc46743506"/>
      <w:bookmarkStart w:id="10" w:name="_Toc46743506"/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11" w:name="_Toc54643696"/>
      <w:r>
        <w:rPr/>
        <w:t>Наименование закупаемой продукции</w:t>
      </w:r>
    </w:p>
    <w:p>
      <w:pPr>
        <w:pStyle w:val="Normal"/>
        <w:widowControl w:val="false"/>
        <w:suppressAutoHyphens w:val="false"/>
        <w:jc w:val="both"/>
        <w:rPr/>
      </w:pPr>
      <w:r>
        <w:rPr>
          <w:rFonts w:eastAsia="Calibri"/>
          <w:lang w:eastAsia="en-US"/>
        </w:rPr>
        <w:t>ОКПД 2: 71.20.19.190 Услуги по проведению экспертизы промышленной</w:t>
      </w:r>
    </w:p>
    <w:p>
      <w:pPr>
        <w:pStyle w:val="Normal"/>
        <w:keepNext w:val="true"/>
        <w:keepLines/>
        <w:jc w:val="both"/>
        <w:rPr/>
      </w:pPr>
      <w:r>
        <w:rPr>
          <w:sz w:val="24"/>
          <w:szCs w:val="24"/>
          <w:lang w:eastAsia="zh-CN"/>
        </w:rPr>
        <w:t xml:space="preserve">безопасности подъемных сооружений </w:t>
      </w:r>
      <w:r>
        <w:rPr>
          <w:rFonts w:eastAsia="Calibri"/>
          <w:sz w:val="26"/>
          <w:szCs w:val="26"/>
        </w:rPr>
        <w:t>для нужд Камчатского филиала АО "ТК РусГидро"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bookmarkStart w:id="12" w:name="_Toc54643697"/>
      <w:r>
        <w:rPr/>
        <w:t xml:space="preserve">Цель </w:t>
      </w:r>
      <w:r>
        <w:rPr>
          <w:lang w:val="ru-RU"/>
        </w:rPr>
        <w:t>оказания услуг</w:t>
      </w:r>
      <w:bookmarkEnd w:id="12"/>
      <w:r>
        <w:rPr/>
        <w:t xml:space="preserve"> </w:t>
      </w:r>
      <w:bookmarkEnd w:id="10"/>
      <w:bookmarkEnd w:id="11"/>
    </w:p>
    <w:p>
      <w:pPr>
        <w:pStyle w:val="Normal"/>
        <w:ind w:firstLine="426"/>
        <w:jc w:val="both"/>
        <w:rPr>
          <w:rStyle w:val="FontStyle28"/>
          <w:sz w:val="26"/>
          <w:szCs w:val="26"/>
        </w:rPr>
      </w:pPr>
      <w:r>
        <w:rPr>
          <w:rStyle w:val="FontStyle28"/>
          <w:sz w:val="26"/>
          <w:szCs w:val="26"/>
        </w:rPr>
        <w:t>Техническое диагностирование и определение возможности п</w:t>
      </w:r>
      <w:r>
        <w:rPr>
          <w:sz w:val="26"/>
          <w:szCs w:val="26"/>
        </w:rPr>
        <w:t>родления срока безопасной эксплуатации подъемных сооружений, эксплуатируемых Камчатским филиалом АО «ТК РусГидро»,</w:t>
      </w:r>
      <w:r>
        <w:rPr>
          <w:rStyle w:val="FontStyle28"/>
          <w:sz w:val="26"/>
          <w:szCs w:val="26"/>
        </w:rPr>
        <w:t xml:space="preserve"> проводится с целью:</w:t>
      </w:r>
    </w:p>
    <w:p>
      <w:pPr>
        <w:pStyle w:val="Style33"/>
        <w:widowControl/>
        <w:numPr>
          <w:ilvl w:val="0"/>
          <w:numId w:val="10"/>
        </w:numPr>
        <w:tabs>
          <w:tab w:val="clear" w:pos="708"/>
          <w:tab w:val="left" w:pos="709" w:leader="none"/>
        </w:tabs>
        <w:spacing w:lineRule="auto" w:line="240" w:before="0" w:after="0"/>
        <w:ind w:left="426" w:hanging="0"/>
        <w:contextualSpacing/>
        <w:jc w:val="left"/>
        <w:rPr>
          <w:rStyle w:val="FontStyle28"/>
          <w:sz w:val="26"/>
          <w:szCs w:val="26"/>
        </w:rPr>
      </w:pPr>
      <w:r>
        <w:rPr>
          <w:rStyle w:val="FontStyle28"/>
          <w:sz w:val="26"/>
          <w:szCs w:val="26"/>
        </w:rPr>
        <w:t>оценки технического состояния;</w:t>
      </w:r>
    </w:p>
    <w:p>
      <w:pPr>
        <w:pStyle w:val="Style210"/>
        <w:numPr>
          <w:ilvl w:val="0"/>
          <w:numId w:val="10"/>
        </w:numPr>
        <w:tabs>
          <w:tab w:val="clear" w:pos="708"/>
          <w:tab w:val="left" w:pos="709" w:leader="none"/>
        </w:tabs>
        <w:spacing w:lineRule="auto" w:line="240" w:before="0" w:after="0"/>
        <w:ind w:left="426" w:hanging="0"/>
        <w:contextualSpacing/>
        <w:jc w:val="both"/>
        <w:rPr>
          <w:sz w:val="26"/>
          <w:szCs w:val="26"/>
        </w:rPr>
      </w:pPr>
      <w:r>
        <w:rPr>
          <w:rStyle w:val="FontStyle28"/>
          <w:sz w:val="26"/>
          <w:szCs w:val="26"/>
        </w:rPr>
        <w:t xml:space="preserve">оценки </w:t>
      </w:r>
      <w:r>
        <w:rPr>
          <w:sz w:val="26"/>
          <w:szCs w:val="26"/>
        </w:rPr>
        <w:t xml:space="preserve">соответствия требованиям промышленной безопасности; </w:t>
      </w:r>
    </w:p>
    <w:p>
      <w:pPr>
        <w:pStyle w:val="Style210"/>
        <w:numPr>
          <w:ilvl w:val="0"/>
          <w:numId w:val="10"/>
        </w:numPr>
        <w:tabs>
          <w:tab w:val="clear" w:pos="708"/>
          <w:tab w:val="left" w:pos="709" w:leader="none"/>
        </w:tabs>
        <w:spacing w:lineRule="auto" w:line="240" w:before="0" w:after="0"/>
        <w:ind w:left="426" w:hanging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определения остаточного ресурса (срока службы); </w:t>
      </w:r>
    </w:p>
    <w:p>
      <w:pPr>
        <w:pStyle w:val="Style210"/>
        <w:numPr>
          <w:ilvl w:val="0"/>
          <w:numId w:val="10"/>
        </w:numPr>
        <w:tabs>
          <w:tab w:val="clear" w:pos="708"/>
          <w:tab w:val="left" w:pos="709" w:leader="none"/>
        </w:tabs>
        <w:spacing w:lineRule="auto" w:line="240" w:before="0" w:after="0"/>
        <w:ind w:left="426" w:hanging="0"/>
        <w:contextualSpacing/>
        <w:jc w:val="both"/>
        <w:rPr/>
      </w:pPr>
      <w:r>
        <w:rPr>
          <w:sz w:val="26"/>
          <w:szCs w:val="26"/>
        </w:rPr>
        <w:t>определения условий дальнейшей безопасной эксплуатации.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  <w:bookmarkStart w:id="13" w:name="_Toc54643699"/>
      <w:bookmarkStart w:id="14" w:name="_Toc5464369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4"/>
    </w:p>
    <w:tbl>
      <w:tblPr>
        <w:tblW w:w="100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74"/>
        <w:gridCol w:w="2003"/>
        <w:gridCol w:w="2237"/>
        <w:gridCol w:w="2981"/>
        <w:gridCol w:w="1279"/>
        <w:gridCol w:w="985"/>
      </w:tblGrid>
      <w:tr>
        <w:trPr/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Грузоподъемность, 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138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ТУ «Елизовский»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Елизово, ул. Мурманская, д. 19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Кран-манипулятор HOTOMI КМ-5328BY-LS1036, зав. номер XUY5328BYH0000079, рег. номер шасси В 541 ЕК 41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6,1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ТУ «Елизовский»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Елизово, ул. Мурманская, д. 19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Подъемник автомобильный В-LIFT 200HY, зав. номер XUY3813FHH0000054, рег. номер шасси В 361 ВУ 41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0,25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ТУ «Елизовский»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Елизово, ул. Мурманская, д. 19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Подъемник автомобильный В-LIFT 200HY, зав. номер XUY3813FHH0000053, рег. номер шасси В 347 ВУ 41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0,3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«Центральные энергетические сети»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Петропавловск-Камчатский, ул. Солнечная, д. 16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 автомобильный КС 55713-1К, зав. номер 536, рег. номер шасси А 317 ХТ 41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«Центральные энергетические сети»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Петропавловск-Камчатский, ул. Солнечная, д. 16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Подъемник с рабочей платформой ПСС-141.28Э(4314) П-58, зав. номер 071, рег. номер шасси А 316 ХТ 41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0,25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«Центральные энергетические сети»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Петропавловск-Камчатский, ул. Солнечная, д. 16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Кран-манипулятор автомобильный КМ-Г-2-Н-LS1030-13.ПС, зав. номер 56, рег. номер шасси Е 805 ТХ 35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3,2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«Центральные энергетические сети»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Петропавловск-Камчатский, ул. Солнечная, д. 16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 стреловой автомобильный КС-45717К-1, зав. номер 45717КА1003720, рег. номер шасси В 469 АР 41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«Центральные энергетические сети»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Петропавловск-Камчатский, ул. Солнечная, д. 16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Автоподъемник автомобильный КАРАТ-У-1-Н-LS1030-250, зав. номер 065, рег. номер шасси В 155 ЕА 41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0,25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«Центральные энергетические сети»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Петропавловск-Камчатский, ул. Солнечная, д. 16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Кран-манипулятор автомобильный КМ-У-2-Н-LS1030-18.0, зав. номер 065, рег. номер шасси В 155 ЕА 41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7,0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ТУ «Центральные энергетические сети»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г. Петропавловск-Камчатский, ул. Солнечная, д. 16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Кран-манипулятор автомобильный ГИРД 584912-0000015, зав. номер 071, рег. номер шасси В 304 ЕА 41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7,2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1"/>
          <w:numId w:val="3"/>
        </w:numPr>
        <w:rPr>
          <w:rStyle w:val="Style8"/>
        </w:rPr>
      </w:pPr>
      <w:bookmarkStart w:id="15" w:name="_Toc54643700"/>
      <w:bookmarkStart w:id="16" w:name="_Hlk49857604"/>
      <w:bookmarkStart w:id="17" w:name="_Toc46743509"/>
      <w:r>
        <w:rPr/>
        <w:t xml:space="preserve">Информация в отношении исполнения договора, </w:t>
      </w:r>
      <w:bookmarkStart w:id="18" w:name="_Hlk46492347"/>
      <w:r>
        <w:rPr/>
        <w:t xml:space="preserve">которая должна быть учтена при подготовке заявки </w:t>
      </w:r>
      <w:bookmarkEnd w:id="18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6"/>
      <w:bookmarkEnd w:id="17"/>
      <w:r>
        <w:rPr>
          <w:lang w:val="ru-RU"/>
        </w:rPr>
        <w:t xml:space="preserve"> </w:t>
      </w:r>
      <w:bookmarkStart w:id="19" w:name="_Hlk48209761"/>
      <w:bookmarkEnd w:id="15"/>
    </w:p>
    <w:p>
      <w:pPr>
        <w:pStyle w:val="Heading1"/>
        <w:tabs>
          <w:tab w:val="clear" w:pos="0"/>
        </w:tabs>
        <w:ind w:left="0" w:hanging="0"/>
        <w:rPr>
          <w:b w:val="false"/>
          <w:sz w:val="24"/>
          <w:lang w:val="ru-RU"/>
        </w:rPr>
      </w:pPr>
      <w:r>
        <w:rPr>
          <w:b w:val="false"/>
          <w:lang w:val="ru-RU"/>
        </w:rPr>
        <w:t>1.</w:t>
      </w:r>
      <w:r>
        <w:rPr>
          <w:lang w:val="ru-RU"/>
        </w:rPr>
        <w:t xml:space="preserve"> </w:t>
      </w:r>
      <w:r>
        <w:rPr>
          <w:b w:val="false"/>
          <w:sz w:val="24"/>
          <w:lang w:val="ru-RU"/>
        </w:rPr>
        <w:t xml:space="preserve">Заказчик предоставит доступ к подъемному сооружению, всю необходимую для проведения экспертизы документацию, по запросу исполнителя. 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0" w:name="_Toc51339693"/>
      <w:bookmarkStart w:id="21" w:name="_Toc54643702"/>
      <w:bookmarkStart w:id="22" w:name="_Toc50125126"/>
      <w:bookmarkEnd w:id="19"/>
      <w:bookmarkEnd w:id="2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0"/>
      <w:bookmarkEnd w:id="21"/>
    </w:p>
    <w:p>
      <w:pPr>
        <w:pStyle w:val="Heading4"/>
        <w:numPr>
          <w:ilvl w:val="1"/>
          <w:numId w:val="3"/>
        </w:numPr>
        <w:rPr/>
      </w:pPr>
      <w:bookmarkStart w:id="23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3"/>
    </w:p>
    <w:p>
      <w:pPr>
        <w:pStyle w:val="Heading3"/>
        <w:numPr>
          <w:ilvl w:val="2"/>
          <w:numId w:val="3"/>
        </w:numPr>
        <w:rPr/>
      </w:pPr>
      <w:bookmarkStart w:id="24" w:name="_Toc54643704"/>
      <w:r>
        <w:rPr>
          <w:lang w:val="ru-RU"/>
        </w:rPr>
        <w:t>Требования к перечню и объему услуг</w:t>
      </w:r>
      <w:bookmarkEnd w:id="24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5" w:name="_Toc51339695"/>
      <w:bookmarkStart w:id="26" w:name="_Toc5464370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5"/>
      <w:r>
        <w:rPr>
          <w:sz w:val="24"/>
          <w:szCs w:val="24"/>
          <w:lang w:val="ru-RU"/>
        </w:rPr>
        <w:t>и объем оказываемых услуг</w:t>
      </w:r>
      <w:bookmarkEnd w:id="26"/>
    </w:p>
    <w:tbl>
      <w:tblPr>
        <w:tblW w:w="986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906"/>
        <w:gridCol w:w="4850"/>
        <w:gridCol w:w="1994"/>
        <w:gridCol w:w="2117"/>
      </w:tblGrid>
      <w:tr>
        <w:trPr/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Fonts w:eastAsia="Calibri"/>
                <w:lang w:eastAsia="en-US"/>
              </w:rPr>
              <w:t>ОКПД 2: 71.20.19.190 Услуги по проведению экспертизы промышленной</w:t>
            </w:r>
          </w:p>
          <w:p>
            <w:pPr>
              <w:pStyle w:val="Normal"/>
              <w:keepNext w:val="true"/>
              <w:keepLines/>
              <w:widowControl w:val="false"/>
              <w:jc w:val="both"/>
              <w:rPr/>
            </w:pPr>
            <w:r>
              <w:rPr>
                <w:sz w:val="24"/>
                <w:szCs w:val="24"/>
                <w:lang w:eastAsia="zh-CN"/>
              </w:rPr>
              <w:t xml:space="preserve">безопасности подъемных сооружений </w:t>
            </w:r>
            <w:r>
              <w:rPr>
                <w:rFonts w:eastAsia="Calibri"/>
                <w:sz w:val="26"/>
                <w:szCs w:val="26"/>
              </w:rPr>
              <w:t>для нужд Камчатского филиала АО "ТК РусГидро"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7" w:name="_Toc54643706"/>
      <w:bookmarkStart w:id="28" w:name="_Toc51339696"/>
      <w:r>
        <w:rPr>
          <w:lang w:val="ru-RU"/>
        </w:rPr>
        <w:t xml:space="preserve">Требования </w:t>
      </w:r>
      <w:bookmarkEnd w:id="28"/>
      <w:r>
        <w:rPr>
          <w:lang w:val="ru-RU"/>
        </w:rPr>
        <w:t>к срокам оказания услуг</w:t>
      </w:r>
      <w:bookmarkEnd w:id="27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9" w:name="_Toc54643707"/>
      <w:bookmarkStart w:id="30" w:name="_Toc50125127"/>
      <w:bookmarkStart w:id="31" w:name="_Toc51339697"/>
      <w:bookmarkStart w:id="32" w:name="_Toc50125126_Копия_1"/>
      <w:bookmarkEnd w:id="3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3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0"/>
      <w:bookmarkEnd w:id="31"/>
      <w:bookmarkEnd w:id="33"/>
      <w:r>
        <w:rPr>
          <w:sz w:val="24"/>
          <w:szCs w:val="24"/>
          <w:lang w:val="ru-RU"/>
        </w:rPr>
        <w:t>оказания услуг</w:t>
      </w:r>
      <w:bookmarkEnd w:id="29"/>
    </w:p>
    <w:tbl>
      <w:tblPr>
        <w:tblW w:w="1037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91"/>
        <w:gridCol w:w="2688"/>
        <w:gridCol w:w="2415"/>
        <w:gridCol w:w="3112"/>
        <w:gridCol w:w="1566"/>
      </w:tblGrid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34" w:name="_Toc46743510"/>
            <w:r>
              <w:rPr>
                <w:b/>
                <w:sz w:val="24"/>
                <w:szCs w:val="24"/>
              </w:rPr>
              <w:t>4</w:t>
            </w:r>
            <w:bookmarkEnd w:id="34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Кран-манипулятор HOTOMI КМ-5328BY-LS1036, зав. номер XUY5328BYH0000079, рег. номер шасси В 541 ЕК 41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25.06.2027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12.07.2027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>
        <w:trPr>
          <w:trHeight w:val="1281" w:hRule="atLeast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Подъемник автомобильный В-LIFT 200HY, зав. номер XUY3813FHH0000054, рег. номер шасси В 361 ВУ 41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13.04.2027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30.04.2027</w:t>
            </w:r>
          </w:p>
        </w:tc>
        <w:tc>
          <w:tcPr>
            <w:tcW w:w="156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Подъемник автомобильный В-LIFT 200HY, зав. номер XUY3813FHH0000053, рег. номер шасси В 347 ВУ 41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13.04.2027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30.04.2027</w:t>
            </w:r>
          </w:p>
        </w:tc>
        <w:tc>
          <w:tcPr>
            <w:tcW w:w="156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 автомобильный КС 55713-1К, зав. номер 536, рег. номер шасси А 317 ХТ 41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13.04.2027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30.04.2027</w:t>
            </w:r>
          </w:p>
        </w:tc>
        <w:tc>
          <w:tcPr>
            <w:tcW w:w="156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Подъемник с рабочей платформой ПСС-141.28Э(4314) П-58, зав. номер 071, рег. номер шасси А 316 ХТ 41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13.04.2027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30.04.2027</w:t>
            </w:r>
          </w:p>
        </w:tc>
        <w:tc>
          <w:tcPr>
            <w:tcW w:w="156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Кран-манипулятор автомобильный КМ-Г-2-Н-LS1030-13.ПС, зав. номер 56, рег. номер шасси Е 805 ТХ 35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29.01.2027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15.02.2027</w:t>
            </w:r>
          </w:p>
        </w:tc>
        <w:tc>
          <w:tcPr>
            <w:tcW w:w="156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 стреловой автомобильный КС-45717К-1, зав. номер 45717КА1003720, рег. номер шасси В 469 АР 41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13.04.2027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30.04.2027</w:t>
            </w:r>
          </w:p>
        </w:tc>
        <w:tc>
          <w:tcPr>
            <w:tcW w:w="156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Автоподъемник автомобильный КАРАТ-У-1-Н-LS1030-250, зав. номер 065, рег. номер шасси В 155 ЕА 41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23.09.2027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14.10.2027</w:t>
            </w:r>
          </w:p>
        </w:tc>
        <w:tc>
          <w:tcPr>
            <w:tcW w:w="156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Кран-манипулятор автомобильный КМ-У-2-Н-LS1030-18.0, зав. номер 065, рег. номер шасси В 155 ЕА 41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23.09.2027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14.10.2027</w:t>
            </w:r>
          </w:p>
        </w:tc>
        <w:tc>
          <w:tcPr>
            <w:tcW w:w="156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Кран-манипулятор автомобильный ГИРД 584912-0000015, зав. номер 071, рег. номер шасси В 304 ЕА 41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25.03.2027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14.04.2027</w:t>
            </w:r>
          </w:p>
        </w:tc>
        <w:tc>
          <w:tcPr>
            <w:tcW w:w="1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851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35" w:name="_Toc54643709"/>
      <w:bookmarkStart w:id="36" w:name="_Toc46743511"/>
      <w:bookmarkStart w:id="37" w:name="_Toc54643708"/>
      <w:bookmarkStart w:id="38" w:name="_Toc51339698"/>
      <w:r>
        <w:rPr/>
        <w:t xml:space="preserve">Требования к </w:t>
      </w:r>
      <w:bookmarkEnd w:id="36"/>
      <w:r>
        <w:rPr>
          <w:lang w:val="ru-RU"/>
        </w:rPr>
        <w:t xml:space="preserve">качеству </w:t>
      </w:r>
      <w:bookmarkEnd w:id="37"/>
      <w:r>
        <w:rPr>
          <w:lang w:val="ru-RU"/>
        </w:rPr>
        <w:t>продукции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8"/>
      <w:r>
        <w:rPr>
          <w:sz w:val="24"/>
          <w:szCs w:val="24"/>
          <w:lang w:val="ru-RU"/>
        </w:rPr>
        <w:t xml:space="preserve">качеству </w:t>
      </w:r>
      <w:bookmarkEnd w:id="35"/>
      <w:r>
        <w:rPr>
          <w:sz w:val="24"/>
          <w:szCs w:val="24"/>
          <w:lang w:val="ru-RU"/>
        </w:rPr>
        <w:t>продукции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uppressAutoHyphens w:val="false"/>
        <w:jc w:val="both"/>
        <w:rPr/>
      </w:pPr>
      <w:r>
        <w:rPr>
          <w:rFonts w:eastAsia="Calibri"/>
          <w:lang w:eastAsia="en-US"/>
        </w:rPr>
        <w:t xml:space="preserve">ОКПД 2: 71.20.19.190 Услуги по проведению экспертизы промышленной </w:t>
      </w:r>
      <w:r>
        <w:rPr>
          <w:iCs/>
          <w:lang w:eastAsia="zh-CN"/>
        </w:rPr>
        <w:t xml:space="preserve">безопасности подъемных сооружений </w:t>
      </w:r>
      <w:r>
        <w:rPr>
          <w:rFonts w:eastAsia="Calibri"/>
          <w:iCs/>
        </w:rPr>
        <w:t>для нужд Камчатского филиала АО "ТК РусГидро"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Style w:val="affff5"/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57"/>
        <w:gridCol w:w="3455"/>
        <w:gridCol w:w="4715"/>
        <w:gridCol w:w="1845"/>
        <w:gridCol w:w="2372"/>
        <w:gridCol w:w="2129"/>
      </w:tblGrid>
      <w:tr>
        <w:trPr/>
        <w:tc>
          <w:tcPr>
            <w:tcW w:w="75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4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7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21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2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71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9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9"/>
          </w:p>
        </w:tc>
        <w:tc>
          <w:tcPr>
            <w:tcW w:w="34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7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1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Соблюдение требований федеральных нормативных актов в области промышленной и техногенной безопасности.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следующими НПА: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Федеральный закон от 21.07.1997 N 116-ФЗ "О промышленной безопасности опасных производственных объектов";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>"Правила проведения экспертизы промышленной безопасности", утверждённые приказом Федеральной службы по экологическому, технологическому и атомному надзору от 20 октября 2020 г. N 420”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>Приказ Федеральной службы по экологическому, технологическому и атомному надзору от 13 апреля 2022 г. № 120 “О внесении изменений в федеральные нормы и правила в области промышленной безопасности "Правила проведения экспертизы промышленной безопасности", утверждённые приказом Федеральной службы по экологическому, технологическому и атомному надзору от 20 октября 2020 г. N 420”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Административный регламент Федеральной службы по экологическому, технологическому и атомному надзору по предоставлению государственной услуги «Внесение заключения экспертизы промышленной безопасности в реестр заключений экспертизы промышленной безопасности, а также исключение сведений из указанного реестра» утверждён приказом Федеральной службы по экологическому, технологическому и атомному надзору от 29 января 2025 года №30;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16.09.2020 N 1477 "О лицензировании деятельности по проведению экспертизы промышленной безопасности"</w:t>
            </w:r>
          </w:p>
        </w:tc>
        <w:tc>
          <w:tcPr>
            <w:tcW w:w="1845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2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действующей лицензии на осуществление деятельности по проведению экспертизы промышленной безопасности.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Участником закупки может быть только юридическое лицо,  имеющее действующую лицензию на осуществление деятельности по проведению экспертизы промышленной безопасности.</w:t>
            </w:r>
          </w:p>
        </w:tc>
        <w:tc>
          <w:tcPr>
            <w:tcW w:w="184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Заверенная копия действующей лицензии на осуществление деятельности по проведению экспертизы промышленной безопасности, срок окончания действия лицензии не ранее 31.12.2026</w:t>
            </w:r>
          </w:p>
        </w:tc>
        <w:tc>
          <w:tcPr>
            <w:tcW w:w="2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2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Территориальная привязка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Исходя из географической или территориальной привязки Заказчика, исполнитель закупки должен иметь возможность осуществлять деятельность, в г. Петропавловске – Камчатском, Камчатского края.</w:t>
            </w:r>
          </w:p>
        </w:tc>
        <w:tc>
          <w:tcPr>
            <w:tcW w:w="184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График оказания услуг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График оказания услуг принимать в соответствии с таблицей 3, раздела 2.1.2 данных технических требований</w:t>
            </w:r>
          </w:p>
        </w:tc>
        <w:tc>
          <w:tcPr>
            <w:tcW w:w="184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Время оказания услуг</w:t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Услуга по проведению экспертизы промышленной безопасности должна оказываться с 8 до 17 в даты в соответствии с графиком оказания услуг.</w:t>
            </w:r>
          </w:p>
        </w:tc>
        <w:tc>
          <w:tcPr>
            <w:tcW w:w="184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6"/>
                <w:lang w:val="ru-RU" w:eastAsia="ru-RU" w:bidi="ar-SA"/>
              </w:rPr>
              <w:t>Экспертное обследование стреловых кранов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6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6"/>
                <w:lang w:val="ru-RU" w:eastAsia="ru-RU" w:bidi="ar-SA"/>
              </w:rPr>
              <w:t>Экспертное обследование стреловых кранов</w:t>
            </w: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bCs/>
                <w:kern w:val="0"/>
                <w:sz w:val="24"/>
                <w:szCs w:val="26"/>
                <w:lang w:val="ru-RU" w:eastAsia="ru-RU" w:bidi="ar-SA"/>
              </w:rPr>
              <w:t>должны предусматривать: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ind w:firstLine="426"/>
              <w:contextualSpacing/>
              <w:jc w:val="both"/>
              <w:rPr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ознакомление с документацией</w:t>
            </w:r>
            <w:r>
              <w:rPr>
                <w:rFonts w:eastAsia="Times New Roman" w:cs="Times New Roman"/>
                <w:kern w:val="0"/>
                <w:sz w:val="24"/>
                <w:szCs w:val="26"/>
                <w:lang w:val="en-US" w:eastAsia="ru-RU" w:bidi="ar-SA"/>
              </w:rPr>
              <w:t>;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ind w:firstLine="426"/>
              <w:contextualSpacing/>
              <w:jc w:val="both"/>
              <w:rPr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проверка условий проведения обследования</w:t>
            </w:r>
            <w:r>
              <w:rPr>
                <w:rFonts w:eastAsia="Times New Roman" w:cs="Times New Roman"/>
                <w:kern w:val="0"/>
                <w:sz w:val="24"/>
                <w:szCs w:val="26"/>
                <w:lang w:val="en-US" w:eastAsia="ru-RU" w:bidi="ar-SA"/>
              </w:rPr>
              <w:t>;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ind w:firstLine="426"/>
              <w:contextualSpacing/>
              <w:jc w:val="both"/>
              <w:rPr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проверка состояния металлических конструкций</w:t>
            </w:r>
            <w:r>
              <w:rPr>
                <w:rFonts w:eastAsia="Times New Roman" w:cs="Times New Roman"/>
                <w:kern w:val="0"/>
                <w:sz w:val="24"/>
                <w:szCs w:val="26"/>
                <w:lang w:val="en-US" w:eastAsia="ru-RU" w:bidi="ar-SA"/>
              </w:rPr>
              <w:t>;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ind w:firstLine="426"/>
              <w:contextualSpacing/>
              <w:jc w:val="both"/>
              <w:rPr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проверка состояния механического оборудования</w:t>
            </w:r>
            <w:r>
              <w:rPr>
                <w:rFonts w:eastAsia="Times New Roman" w:cs="Times New Roman"/>
                <w:kern w:val="0"/>
                <w:sz w:val="24"/>
                <w:szCs w:val="26"/>
                <w:lang w:val="en-US" w:eastAsia="ru-RU" w:bidi="ar-SA"/>
              </w:rPr>
              <w:t>;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ind w:firstLine="426"/>
              <w:contextualSpacing/>
              <w:jc w:val="both"/>
              <w:rPr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 xml:space="preserve">проверка состояния </w:t>
            </w:r>
            <w:r>
              <w:rPr>
                <w:rFonts w:eastAsia="Times New Roman" w:cs="Times New Roman"/>
                <w:kern w:val="0"/>
                <w:sz w:val="24"/>
                <w:szCs w:val="26"/>
                <w:lang w:val="uk-UA" w:eastAsia="uk-UA" w:bidi="ar-SA"/>
              </w:rPr>
              <w:t xml:space="preserve">канатно </w:t>
            </w: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- блочной системы;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ind w:firstLine="426"/>
              <w:contextualSpacing/>
              <w:jc w:val="both"/>
              <w:rPr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проверка технического состояния электрооборудования</w:t>
            </w:r>
            <w:r>
              <w:rPr>
                <w:rFonts w:eastAsia="Times New Roman" w:cs="Times New Roman"/>
                <w:kern w:val="0"/>
                <w:sz w:val="24"/>
                <w:szCs w:val="26"/>
                <w:lang w:val="en-US" w:eastAsia="ru-RU" w:bidi="ar-SA"/>
              </w:rPr>
              <w:t>;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ind w:firstLine="426"/>
              <w:contextualSpacing/>
              <w:jc w:val="both"/>
              <w:rPr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проверка приборов и устройств безопасности;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ind w:firstLine="426"/>
              <w:contextualSpacing/>
              <w:jc w:val="both"/>
              <w:rPr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проведение статических и динамических испытаний;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ind w:firstLine="426"/>
              <w:contextualSpacing/>
              <w:jc w:val="both"/>
              <w:rPr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составление ведомости дефектов</w:t>
            </w:r>
            <w:r>
              <w:rPr>
                <w:rFonts w:eastAsia="Times New Roman" w:cs="Times New Roman"/>
                <w:kern w:val="0"/>
                <w:sz w:val="24"/>
                <w:szCs w:val="26"/>
                <w:lang w:val="en-US" w:eastAsia="ru-RU" w:bidi="ar-SA"/>
              </w:rPr>
              <w:t>;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ind w:right="60" w:firstLine="426"/>
              <w:contextualSpacing/>
              <w:jc w:val="both"/>
              <w:rPr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проверка химического состава и механических свойств металла несущих элементов и металлических конструкций;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ind w:firstLine="426"/>
              <w:contextualSpacing/>
              <w:jc w:val="both"/>
              <w:rPr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оценка остаточного ресурса</w:t>
            </w:r>
            <w:r>
              <w:rPr>
                <w:rFonts w:eastAsia="Times New Roman" w:cs="Times New Roman"/>
                <w:kern w:val="0"/>
                <w:sz w:val="24"/>
                <w:szCs w:val="26"/>
                <w:lang w:val="en-US" w:eastAsia="ru-RU" w:bidi="ar-SA"/>
              </w:rPr>
              <w:t>;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ind w:firstLine="426"/>
              <w:contextualSpacing/>
              <w:jc w:val="both"/>
              <w:rPr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оформление заключений экспертиз промышленной безопасности подъемных сооружений, в которых содержится вывод о возможности продления срока безопасной эксплуатации стреловых кранов.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Cs/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Программа технического диагностирования и программа оказания услуг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Программа технического диагностирования и программа оказания услуг по определению возможности продления срока безопасной эксплуатации разрабатываются экспертной организацией и согласовываются Заказчиком не позднее, чем за 30 дней до начала оказания услуг.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Техническое диагностирование подъемных сооружений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Техническое диагностирование подъемных сооружений на опасных производственных объектах выполняется экспертной организацией в соответствии с программой оказания услуг согласно техническому заданию Заказчика. Результаты технического диагностирования вносятся в паспорт подъемного сооружения.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стоимость услуг должны быть включены расходы, связанные с оказанием услуг.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том числе, но не ограничиваясь следующим: расходы на оплату услуг специалистов, стоимость используемых изделий, оформления документов.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471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left="0" w:firstLine="3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Участник закупки должен обладать необходимым минимальным количеством работников для выполнения услуг.</w:t>
            </w:r>
          </w:p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left="0" w:firstLine="360"/>
              <w:contextualSpacing/>
              <w:jc w:val="both"/>
              <w:rPr>
                <w:bCs/>
                <w:szCs w:val="26"/>
              </w:rPr>
            </w:pPr>
            <w:r>
              <w:rPr>
                <w:rFonts w:cs="Times New Roman"/>
                <w:bCs/>
                <w:kern w:val="0"/>
                <w:szCs w:val="26"/>
                <w:lang w:val="ru-RU" w:eastAsia="ru-RU" w:bidi="ar-SA"/>
              </w:rPr>
              <w:t xml:space="preserve">Подтвердить наличие в штате организации (или заключившим с экспертной организацией иные договорные отношения) аттестованного эксперта первой и (или) второй, и (или) третьей категории, в соответствии с Федеральными нормами и правилами в области промышленной безопасности, в порядке, установленном </w:t>
            </w:r>
            <w:hyperlink r:id="rId5">
              <w:r>
                <w:rPr>
                  <w:rFonts w:cs="Times New Roman"/>
                  <w:bCs/>
                  <w:kern w:val="0"/>
                  <w:szCs w:val="26"/>
                  <w:lang w:val="ru-RU" w:eastAsia="ru-RU" w:bidi="ar-SA"/>
                </w:rPr>
                <w:t>постановлением</w:t>
              </w:r>
            </w:hyperlink>
            <w:r>
              <w:rPr>
                <w:rFonts w:cs="Times New Roman"/>
                <w:bCs/>
                <w:kern w:val="0"/>
                <w:szCs w:val="26"/>
                <w:lang w:val="ru-RU" w:eastAsia="ru-RU" w:bidi="ar-SA"/>
              </w:rPr>
              <w:t xml:space="preserve"> Правительства Российской Федерации от 2 июня 2022 года №1009 «Об аттестации экспертов в области промышленной безопасности» на выполнение работ по экспертизе промышленной безопасности опасных производственных объектов, с правом выполнения расчетов остаточного ресурса в областях аттестации, указанных в таблице 3 настоящего технического задания.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Действующие аттестаты эксперта</w:t>
            </w:r>
            <w:r>
              <w:rPr>
                <w:rFonts w:eastAsia="Times New Roman" w:cs="Times New Roman"/>
                <w:bCs/>
                <w:kern w:val="0"/>
                <w:sz w:val="24"/>
                <w:szCs w:val="26"/>
                <w:lang w:val="ru-RU" w:eastAsia="ru-RU" w:bidi="ar-SA"/>
              </w:rPr>
              <w:t xml:space="preserve"> первой и (или) второй, и (или) третьей категории, сотрудников которые будут привлечены Исполнителем к оказанию услуг по настоящей закупочной процедуре.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 оказания услуг.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По результатам технического диагностирования и определения остаточного ресурса (срока службы) оборудования экспертная организация должна оформить заключение экспертизы промышленной безопасности, содержащее выводы о соответствии объекта экспертизы требованиям промышленной безопасности и возможности продления срока безопасной эксплуатации, либо о невозможности эксплуатации.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информации.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Предоставлять информацию в соответствии со стандартами раскрытия информации в области промышленной безопасности, предусмотренными законодательством Российской Федерации.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Информирование о невозможности дальнейшей эксплуатации.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Своевременно предоставить информацию о невозможности дальнейшей эксплуатации подъемного сооружения по результатам экспертизы.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информационной безопасности должны обеспечиваться на всех стадиях проведения услуг.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информационной безопасности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за исключением случаев, предусмотренных законодательством Российской Федерации. Исполнитель обязуются сохранять конфиденциальность информации, полученной в ходе исполнения услуг.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безопасности оказания услуг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по проведению экспертизы промышленной безопасности должны быть безопасны и должны исключать возможность причинения вреда здоровью граждан, работников Заказчика или иных лиц.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Уведомление о невозможности выполнения услуги.</w:t>
            </w:r>
          </w:p>
        </w:tc>
        <w:tc>
          <w:tcPr>
            <w:tcW w:w="4715" w:type="dxa"/>
            <w:tcBorders/>
          </w:tcPr>
          <w:p>
            <w:pPr>
              <w:pStyle w:val="Style51"/>
              <w:widowControl w:val="false"/>
              <w:suppressAutoHyphens w:val="true"/>
              <w:spacing w:before="0" w:after="0"/>
              <w:ind w:hanging="0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Участник обязан:</w:t>
            </w:r>
          </w:p>
          <w:p>
            <w:pPr>
              <w:pStyle w:val="Style51"/>
              <w:widowControl w:val="false"/>
              <w:suppressAutoHyphens w:val="true"/>
              <w:spacing w:before="0" w:after="0"/>
              <w:ind w:firstLine="709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 в случае невозможности исполнения своих обязанностей по независящим от него причинам немедленно письменно информировать об этом Заказчика.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Составление необходимых документов об оказании услуг.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составляет Акт выполненных работ, счет, заключение экспертизы.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оказанных услуг.</w:t>
            </w:r>
          </w:p>
        </w:tc>
        <w:tc>
          <w:tcPr>
            <w:tcW w:w="47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Акт выполненных работ, счет, заключение экспертизы Заказчику. Передача документов может осуществляться посредством электронной почты, средств ведения электронного документооборота, почтой в бумажном варианте. Необходима возможность осуществления дублирования документов по запросу Заказчика.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Формат передачи заключения экспертизы</w:t>
            </w:r>
          </w:p>
        </w:tc>
        <w:tc>
          <w:tcPr>
            <w:tcW w:w="47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Каждое оформленное заключение экспертизы промышленной безопасности (со всеми приложениями, расчетными таблицами) представляется Заказчику на бумажном носителе в двух экземплярах и в электронном виде на компакт-диске (сканированное изображение в формате .pdf, текстовый файл в формате .doc, расчетные таблицы в формате .xls).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2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заключению экспертизы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Заключение экспертизы промышленной безопасности должно быть подписано руководителем организации, проводившей экспертизу, и экспертом (экспертами), участвовавшим (участвовавшими) в проведении экспертизы, заверено печатью экспертной организации и прошито с указанием количества листов.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2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содержанию заключения экспертизы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В заключении должны быть приведены дополнительно расчетные и аналитические процедуры оценки и прогнозирования технического состояния объекта экспертизы, включающие определение остаточного ресурса (срока службы) с отражением в выводах заключения экспертизы установленного срока дальнейшей безопасной эксплуатации объекта экспертизы, с указанием условий дальнейшей безопасной эксплуатации.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В заключениях экспертизы промышленной безопасности должно быть указано: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ind w:firstLine="284"/>
              <w:contextualSpacing/>
              <w:jc w:val="both"/>
              <w:rPr>
                <w:rFonts w:eastAsia="" w:eastAsiaTheme="minorEastAsia"/>
                <w:sz w:val="24"/>
                <w:szCs w:val="26"/>
              </w:rPr>
            </w:pPr>
            <w:r>
              <w:rPr>
                <w:rFonts w:eastAsia="" w:cs="Times New Roman" w:eastAsiaTheme="minorEastAsia"/>
                <w:kern w:val="0"/>
                <w:sz w:val="24"/>
                <w:szCs w:val="26"/>
                <w:lang w:val="ru-RU" w:eastAsia="ru-RU" w:bidi="ar-SA"/>
              </w:rPr>
              <w:t>а)</w:t>
              <w:tab/>
              <w:t>срок безопасной эксплуатации оборудования до очередного технического диагностирования или утилизации;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ind w:firstLine="284"/>
              <w:contextualSpacing/>
              <w:jc w:val="both"/>
              <w:rPr>
                <w:rFonts w:eastAsia="" w:eastAsiaTheme="minorEastAsia"/>
                <w:sz w:val="24"/>
                <w:szCs w:val="26"/>
              </w:rPr>
            </w:pPr>
            <w:r>
              <w:rPr>
                <w:rFonts w:eastAsia="" w:cs="Times New Roman" w:eastAsiaTheme="minorEastAsia"/>
                <w:kern w:val="0"/>
                <w:sz w:val="24"/>
                <w:szCs w:val="26"/>
                <w:lang w:val="ru-RU" w:eastAsia="ru-RU" w:bidi="ar-SA"/>
              </w:rPr>
              <w:t>б)</w:t>
              <w:tab/>
              <w:t>условия дальнейшей безопасной эксплуатации оборудования, в том числе разрешенные параметры и режимы работы, а также объем, методы, периодичность проведения технического освидетельствования и поэлементного технического диагностирования, в период эксплуатации подъемных сооружений в пределах установленного по результатам экспертизы промышленной безопасности срока безопасной эксплуатации.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ind w:firstLine="284"/>
              <w:contextualSpacing/>
              <w:jc w:val="both"/>
              <w:rPr>
                <w:rFonts w:eastAsia="" w:eastAsiaTheme="minorEastAsia"/>
                <w:sz w:val="24"/>
                <w:szCs w:val="26"/>
              </w:rPr>
            </w:pPr>
            <w:r>
              <w:rPr>
                <w:rFonts w:eastAsia="" w:cs="Times New Roman" w:eastAsiaTheme="minorEastAsia"/>
                <w:kern w:val="0"/>
                <w:sz w:val="24"/>
                <w:szCs w:val="26"/>
                <w:lang w:val="ru-RU" w:eastAsia="ru-RU" w:bidi="ar-SA"/>
              </w:rPr>
              <w:t>в)</w:t>
              <w:tab/>
              <w:t>корректирующие мероприятия, выполнив которые возможно продление срока безопасной эксплуатации устройства (оборудования), с указанием срока до которого может быть продлена безопасная эксплуатация при условии выполнения корректирующих мероприятий (только в случае, если подъёмное сооружение не в полной мере соответствует требованиям промышленной безопасности).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2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выводам заключения экспертизы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Заключение экспертизы промышленной безопасности должно содержать один из следующих выводов о соответствии объекта экспертизы требованиям промышленной безопасности: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ind w:left="0" w:firstLine="426"/>
              <w:contextualSpacing/>
              <w:jc w:val="both"/>
              <w:rPr>
                <w:rFonts w:eastAsia="" w:eastAsiaTheme="minorEastAsia"/>
                <w:sz w:val="24"/>
                <w:szCs w:val="26"/>
              </w:rPr>
            </w:pPr>
            <w:r>
              <w:rPr>
                <w:rFonts w:eastAsia="" w:cs="Times New Roman" w:eastAsiaTheme="minorEastAsia"/>
                <w:kern w:val="0"/>
                <w:sz w:val="24"/>
                <w:szCs w:val="26"/>
                <w:lang w:val="ru-RU" w:eastAsia="ru-RU" w:bidi="ar-SA"/>
              </w:rPr>
              <w:t xml:space="preserve">объект экспертизы </w:t>
            </w:r>
            <w:r>
              <w:rPr>
                <w:rFonts w:eastAsia="" w:cs="Times New Roman" w:eastAsiaTheme="minorEastAsia"/>
                <w:b/>
                <w:kern w:val="0"/>
                <w:sz w:val="24"/>
                <w:szCs w:val="26"/>
                <w:lang w:val="ru-RU" w:eastAsia="ru-RU" w:bidi="ar-SA"/>
              </w:rPr>
              <w:t>соответствует</w:t>
            </w:r>
            <w:r>
              <w:rPr>
                <w:rFonts w:eastAsia="" w:cs="Times New Roman" w:eastAsiaTheme="minorEastAsia"/>
                <w:kern w:val="0"/>
                <w:sz w:val="24"/>
                <w:szCs w:val="26"/>
                <w:lang w:val="ru-RU" w:eastAsia="ru-RU" w:bidi="ar-SA"/>
              </w:rPr>
              <w:t xml:space="preserve"> требованиям промышленной безопасности;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ind w:left="0" w:firstLine="426"/>
              <w:contextualSpacing/>
              <w:jc w:val="both"/>
              <w:rPr>
                <w:rFonts w:eastAsia="" w:eastAsiaTheme="minorEastAsia"/>
                <w:sz w:val="24"/>
                <w:szCs w:val="26"/>
              </w:rPr>
            </w:pPr>
            <w:r>
              <w:rPr>
                <w:rFonts w:eastAsia="" w:cs="Times New Roman" w:eastAsiaTheme="minorEastAsia"/>
                <w:kern w:val="0"/>
                <w:sz w:val="24"/>
                <w:szCs w:val="26"/>
                <w:lang w:val="ru-RU" w:eastAsia="ru-RU" w:bidi="ar-SA"/>
              </w:rPr>
              <w:t xml:space="preserve">объект экспертизы </w:t>
            </w:r>
            <w:r>
              <w:rPr>
                <w:rFonts w:eastAsia="" w:cs="Times New Roman" w:eastAsiaTheme="minorEastAsia"/>
                <w:b/>
                <w:kern w:val="0"/>
                <w:sz w:val="24"/>
                <w:szCs w:val="26"/>
                <w:lang w:val="ru-RU" w:eastAsia="ru-RU" w:bidi="ar-SA"/>
              </w:rPr>
              <w:t>не в полной мере соответствует</w:t>
            </w:r>
            <w:r>
              <w:rPr>
                <w:rFonts w:eastAsia="" w:cs="Times New Roman" w:eastAsiaTheme="minorEastAsia"/>
                <w:kern w:val="0"/>
                <w:sz w:val="24"/>
                <w:szCs w:val="26"/>
                <w:lang w:val="ru-RU" w:eastAsia="ru-RU" w:bidi="ar-SA"/>
              </w:rPr>
              <w:t xml:space="preserve"> требованиям промышленной безопасности и может быть применен при условии внесения соответствующих изменений в документацию или выполнения соответствующих мероприятий в отношении оборудования (в заключении указываются изменения, после внесения которых документация будет соответствовать требованиям промышленной безопасности, либо мероприятия, после проведения которых оборудование будет соответствовать требованиям промышленной безопасности);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ind w:left="0" w:firstLine="426"/>
              <w:contextualSpacing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cs="Times New Roman" w:eastAsiaTheme="minorEastAsia"/>
                <w:kern w:val="0"/>
                <w:sz w:val="24"/>
                <w:szCs w:val="26"/>
                <w:lang w:val="ru-RU" w:eastAsia="ru-RU" w:bidi="ar-SA"/>
              </w:rPr>
              <w:t xml:space="preserve">объект экспертизы </w:t>
            </w:r>
            <w:r>
              <w:rPr>
                <w:rFonts w:eastAsia="" w:cs="Times New Roman" w:eastAsiaTheme="minorEastAsia"/>
                <w:b/>
                <w:kern w:val="0"/>
                <w:sz w:val="24"/>
                <w:szCs w:val="26"/>
                <w:lang w:val="ru-RU" w:eastAsia="ru-RU" w:bidi="ar-SA"/>
              </w:rPr>
              <w:t xml:space="preserve">не </w:t>
            </w:r>
            <w:r>
              <w:rPr>
                <w:rFonts w:eastAsia="" w:cs="Times New Roman" w:eastAsiaTheme="minorEastAsia"/>
                <w:b/>
                <w:kern w:val="0"/>
                <w:sz w:val="24"/>
                <w:szCs w:val="24"/>
                <w:lang w:val="ru-RU" w:eastAsia="ru-RU" w:bidi="ar-SA"/>
              </w:rPr>
              <w:t>с соответствует</w:t>
            </w:r>
            <w:r>
              <w:rPr>
                <w:rFonts w:eastAsia="" w:cs="Times New Roman" w:eastAsiaTheme="minorEastAsia"/>
                <w:kern w:val="0"/>
                <w:sz w:val="24"/>
                <w:szCs w:val="24"/>
                <w:lang w:val="ru-RU" w:eastAsia="ru-RU" w:bidi="ar-SA"/>
              </w:rPr>
              <w:t xml:space="preserve"> требованиям промышленной безопасности.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2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за выполнение услуг.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обязуется выполнять принятые на себя обязательства и нести ответственность за выполнение услуг, предусмотренную законодательством Российской Федерации.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170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5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соисполнителям, привлекаемым к оказанию услуг</w:t>
            </w:r>
          </w:p>
        </w:tc>
        <w:tc>
          <w:tcPr>
            <w:tcW w:w="47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привлечения к оказанию услуг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требуемых услуг.</w:t>
            </w:r>
          </w:p>
        </w:tc>
        <w:tc>
          <w:tcPr>
            <w:tcW w:w="184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7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40" w:name="_Toc54643710"/>
      <w:bookmarkStart w:id="41" w:name="_Toc53393312"/>
      <w:bookmarkStart w:id="42" w:name="_Toc53395937"/>
      <w:r>
        <w:rPr>
          <w:lang w:val="ru-RU"/>
        </w:rPr>
        <w:t>Требования к документации по ценообразованию</w:t>
      </w:r>
      <w:bookmarkEnd w:id="41"/>
      <w:bookmarkEnd w:id="42"/>
      <w:r>
        <w:rPr>
          <w:lang w:val="ru-RU"/>
        </w:rPr>
        <w:t xml:space="preserve"> на этапе закупки</w:t>
      </w:r>
      <w:bookmarkEnd w:id="40"/>
    </w:p>
    <w:p>
      <w:pPr>
        <w:pStyle w:val="Normal"/>
        <w:suppressAutoHyphens w:val="false"/>
        <w:spacing w:before="60" w:after="0"/>
        <w:ind w:left="142" w:firstLine="566"/>
        <w:jc w:val="both"/>
        <w:rPr>
          <w:bCs/>
          <w:iCs/>
          <w:sz w:val="24"/>
          <w:szCs w:val="24"/>
          <w:lang w:eastAsia="x-none"/>
        </w:rPr>
      </w:pPr>
      <w:r>
        <w:rPr>
          <w:bCs/>
          <w:sz w:val="24"/>
          <w:szCs w:val="24"/>
        </w:rPr>
        <w:t>3.1.</w:t>
      </w:r>
      <w:r>
        <w:rPr>
          <w:b/>
          <w:bCs/>
          <w:sz w:val="24"/>
          <w:szCs w:val="24"/>
        </w:rPr>
        <w:t xml:space="preserve"> </w:t>
      </w:r>
      <w:r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43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43"/>
      <w:r>
        <w:rPr>
          <w:bCs/>
          <w:iCs/>
          <w:sz w:val="24"/>
          <w:szCs w:val="24"/>
          <w:lang w:eastAsia="x-none"/>
        </w:rPr>
        <w:t>, приведенной в Приложении №4 к Документации о закупке.</w:t>
      </w:r>
    </w:p>
    <w:p>
      <w:pPr>
        <w:pStyle w:val="Normal"/>
        <w:ind w:left="142" w:firstLine="566"/>
        <w:jc w:val="both"/>
        <w:rPr>
          <w:sz w:val="24"/>
          <w:szCs w:val="24"/>
          <w:lang w:eastAsia="x-none"/>
        </w:rPr>
      </w:pPr>
      <w:bookmarkStart w:id="44" w:name="_Toc46743519"/>
      <w:bookmarkStart w:id="45" w:name="_Toc51339699"/>
      <w:r>
        <w:rPr>
          <w:sz w:val="24"/>
          <w:szCs w:val="24"/>
          <w:lang w:eastAsia="x-none"/>
        </w:rPr>
        <w:t>3.2. В стоимость услуг должны быть включены все расходы, связанные с оказанием услуг, в том числе, но не ограничиваясь следующим: расходы на оплату услуг специалистов, стоимость используемых изделий, оформления документов.</w:t>
      </w:r>
      <w:bookmarkEnd w:id="44"/>
      <w:bookmarkEnd w:id="45"/>
    </w:p>
    <w:p>
      <w:pPr>
        <w:pStyle w:val="Normal"/>
        <w:ind w:left="142" w:firstLine="566"/>
        <w:jc w:val="both"/>
        <w:rPr>
          <w:sz w:val="24"/>
          <w:szCs w:val="24"/>
          <w:lang w:eastAsia="x-none"/>
        </w:rPr>
      </w:pPr>
      <w:r>
        <w:rPr/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46" w:name="_Toc54281228"/>
      <w:bookmarkStart w:id="47" w:name="_Toc54643711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46"/>
      <w:bookmarkEnd w:id="47"/>
    </w:p>
    <w:p>
      <w:pPr>
        <w:pStyle w:val="Normal"/>
        <w:numPr>
          <w:ilvl w:val="1"/>
          <w:numId w:val="18"/>
        </w:numPr>
        <w:spacing w:before="0" w:after="120"/>
        <w:ind w:left="0" w:firstLine="709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  <w:t>По результатам настоящей закупки заключается договор с твердой ценой, равной начальной (максимальной) цене договора, установленной в Документации о закупке, а также с единичными расценками (ценой за единицу продукции по каждому наименованию работ), предложенными в заявке Победителем.</w:t>
      </w:r>
    </w:p>
    <w:p>
      <w:pPr>
        <w:pStyle w:val="Normal"/>
        <w:numPr>
          <w:ilvl w:val="1"/>
          <w:numId w:val="19"/>
        </w:numPr>
        <w:ind w:left="0" w:firstLine="709"/>
        <w:jc w:val="both"/>
        <w:rPr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val="x-none" w:eastAsia="x-none"/>
        </w:rPr>
        <w:t>Порядок формировани</w:t>
      </w:r>
      <w:r>
        <w:rPr>
          <w:iCs/>
          <w:sz w:val="24"/>
          <w:szCs w:val="24"/>
        </w:rPr>
        <w:t>я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 xml:space="preserve">на этапе исполнения договора </w:t>
      </w:r>
      <w:r>
        <w:rPr>
          <w:rFonts w:eastAsia="Calibri"/>
          <w:iCs/>
          <w:sz w:val="24"/>
          <w:szCs w:val="24"/>
          <w:lang w:val="x-none" w:eastAsia="x-none"/>
        </w:rPr>
        <w:t>стоимост</w:t>
      </w:r>
      <w:r>
        <w:rPr>
          <w:iCs/>
          <w:sz w:val="24"/>
          <w:szCs w:val="24"/>
        </w:rPr>
        <w:t>и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>выполняемых услуг</w:t>
      </w:r>
      <w:r>
        <w:rPr>
          <w:rFonts w:eastAsia="Calibri"/>
          <w:iCs/>
          <w:sz w:val="24"/>
          <w:szCs w:val="24"/>
          <w:lang w:val="x-none"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 xml:space="preserve">по заявке заказчика </w:t>
      </w:r>
      <w:r>
        <w:rPr>
          <w:iCs/>
          <w:sz w:val="24"/>
          <w:szCs w:val="24"/>
        </w:rPr>
        <w:t>установлен в Проекте договора.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 xml:space="preserve">Составил: </w:t>
      </w:r>
    </w:p>
    <w:p>
      <w:pPr>
        <w:pStyle w:val="Normal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</w:r>
    </w:p>
    <w:p>
      <w:pPr>
        <w:pStyle w:val="Normal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Руководитель</w:t>
      </w:r>
      <w:r>
        <w:rPr>
          <w:sz w:val="26"/>
          <w:szCs w:val="26"/>
          <w:lang w:eastAsia="x-none"/>
        </w:rPr>
        <w:t xml:space="preserve"> ГОТ и ТБ</w:t>
      </w:r>
    </w:p>
    <w:p>
      <w:pPr>
        <w:pStyle w:val="Normal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Камчатского филиала АО «ТК РусГидро»</w:t>
        <w:tab/>
        <w:tab/>
        <w:tab/>
        <w:tab/>
        <w:tab/>
        <w:t>Е.А. Грицких</w:t>
      </w:r>
    </w:p>
    <w:p>
      <w:pPr>
        <w:pStyle w:val="Normal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</w:r>
    </w:p>
    <w:p>
      <w:pPr>
        <w:pStyle w:val="Normal"/>
        <w:tabs>
          <w:tab w:val="clear" w:pos="708"/>
          <w:tab w:val="left" w:pos="2130" w:leader="none"/>
        </w:tabs>
        <w:rPr>
          <w:sz w:val="24"/>
          <w:szCs w:val="24"/>
        </w:rPr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19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color w:val="000000"/>
      </w:rPr>
    </w:lvl>
    <w:lvl w:ilvl="1">
      <w:start w:val="1"/>
      <w:numFmt w:val="bullet"/>
      <w:lvlText w:val="❖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color w:val="000000"/>
      </w:rPr>
    </w:lvl>
    <w:lvl w:ilvl="2">
      <w:start w:val="1"/>
      <w:numFmt w:val="bullet"/>
      <w:lvlText w:val="❖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color w:val="000000"/>
      </w:rPr>
    </w:lvl>
    <w:lvl w:ilvl="3">
      <w:start w:val="1"/>
      <w:numFmt w:val="bullet"/>
      <w:lvlText w:val="❖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color w:val="000000"/>
      </w:rPr>
    </w:lvl>
    <w:lvl w:ilvl="4">
      <w:start w:val="1"/>
      <w:numFmt w:val="bullet"/>
      <w:lvlText w:val="❖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color w:val="000000"/>
      </w:rPr>
    </w:lvl>
    <w:lvl w:ilvl="5">
      <w:start w:val="1"/>
      <w:numFmt w:val="bullet"/>
      <w:lvlText w:val="❖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color w:val="000000"/>
      </w:rPr>
    </w:lvl>
    <w:lvl w:ilvl="6">
      <w:start w:val="1"/>
      <w:numFmt w:val="bullet"/>
      <w:lvlText w:val="❖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color w:val="000000"/>
      </w:rPr>
    </w:lvl>
    <w:lvl w:ilvl="7">
      <w:start w:val="1"/>
      <w:numFmt w:val="bullet"/>
      <w:lvlText w:val="❖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color w:val="000000"/>
      </w:rPr>
    </w:lvl>
    <w:lvl w:ilvl="8">
      <w:start w:val="1"/>
      <w:numFmt w:val="bullet"/>
      <w:lvlText w:val="❖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color w:val="000000"/>
      </w:rPr>
    </w:lvl>
  </w:abstractNum>
  <w:abstractNum w:abstractNumId="1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6"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5"/>
    <w:lvlOverride w:ilvl="0">
      <w:startOverride w:val="4"/>
    </w:lvlOverride>
    <w:lvlOverride w:ilvl="1">
      <w:startOverride w:val="1"/>
    </w:lvlOverride>
  </w:num>
  <w:num w:numId="19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FontStyle28" w:customStyle="1">
    <w:name w:val="Font Style28"/>
    <w:uiPriority w:val="99"/>
    <w:qFormat/>
    <w:rsid w:val="00d1225b"/>
    <w:rPr>
      <w:rFonts w:ascii="Times New Roman" w:hAnsi="Times New Roman" w:cs="Times New Roman"/>
      <w:sz w:val="24"/>
      <w:szCs w:val="24"/>
    </w:rPr>
  </w:style>
  <w:style w:type="character" w:styleId="Style14" w:customStyle="1">
    <w:name w:val="Ссылка указателя"/>
    <w:qFormat/>
    <w:rPr/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51" w:customStyle="1">
    <w:name w:val="Style5"/>
    <w:basedOn w:val="Normal"/>
    <w:uiPriority w:val="99"/>
    <w:qFormat/>
    <w:rsid w:val="00d951cc"/>
    <w:pPr>
      <w:widowControl w:val="false"/>
      <w:spacing w:lineRule="exact" w:line="232"/>
      <w:ind w:firstLine="672"/>
      <w:jc w:val="both"/>
    </w:pPr>
    <w:rPr>
      <w:sz w:val="24"/>
      <w:szCs w:val="24"/>
    </w:rPr>
  </w:style>
  <w:style w:type="paragraph" w:styleId="Style33" w:customStyle="1">
    <w:name w:val="Style3"/>
    <w:basedOn w:val="Normal"/>
    <w:uiPriority w:val="99"/>
    <w:qFormat/>
    <w:rsid w:val="00d1225b"/>
    <w:pPr>
      <w:widowControl w:val="false"/>
      <w:spacing w:lineRule="exact" w:line="286"/>
      <w:ind w:firstLine="826"/>
      <w:jc w:val="both"/>
    </w:pPr>
    <w:rPr>
      <w:sz w:val="24"/>
      <w:szCs w:val="24"/>
    </w:rPr>
  </w:style>
  <w:style w:type="paragraph" w:styleId="Style210" w:customStyle="1">
    <w:name w:val="Style2"/>
    <w:basedOn w:val="Normal"/>
    <w:uiPriority w:val="99"/>
    <w:qFormat/>
    <w:rsid w:val="00d1225b"/>
    <w:pPr>
      <w:spacing w:lineRule="exact" w:line="266" w:before="0" w:after="200"/>
      <w:ind w:firstLine="922"/>
    </w:pPr>
    <w:rPr>
      <w:rFonts w:eastAsia="" w:eastAsiaTheme="minorEastAsia"/>
      <w:sz w:val="24"/>
      <w:szCs w:val="24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consultantplus://offline/ref=FDC2E66728E5705DCC2D03A6D86B16B2F32A93A6130FF2E0959C23727CAAA629E9CAEB29BB9CFF68t1CEO" TargetMode="Externa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444A3-9C8F-44CF-BBDA-94DC9FC6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Application>AlterOffice/3.4.0.9$Linux_X86_64 LibreOffice_project/b8daf9e823b1a5463a2f48435ddc2e8696e7d4fc</Application>
  <AppVersion>15.0000</AppVersion>
  <Pages>19</Pages>
  <Words>2413</Words>
  <Characters>17154</Characters>
  <CharactersWithSpaces>19174</CharactersWithSpaces>
  <Paragraphs>378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2025-06-19T23:21:00Z</dcterms:created>
  <dc:creator>Быстров Олег Геннадьевич</dc:creator>
  <dc:description/>
  <dc:language>ru-RU</dc:language>
  <cp:lastModifiedBy>gritskikhea@corp.gidroogk.com</cp:lastModifiedBy>
  <cp:lastPrinted>2025-06-19T23:20:00Z</cp:lastPrinted>
  <dcterms:modified xsi:type="dcterms:W3CDTF">2026-06-15T12:42:55Z</dcterms:modified>
  <cp:revision>29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