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_______</w:t>
      </w:r>
    </w:p>
    <w:p>
      <w:pPr>
        <w:pStyle w:val="Normal"/>
        <w:shd w:val="clear" w:color="auto" w:fill="FFFFFF"/>
        <w:spacing w:before="0" w:after="120"/>
        <w:rPr>
          <w:sz w:val="24"/>
          <w:szCs w:val="24"/>
        </w:rPr>
      </w:pPr>
      <w:r>
        <w:rPr>
          <w:sz w:val="24"/>
          <w:szCs w:val="24"/>
        </w:rPr>
        <w:t>Республика Хакасия, г. Саяногорск, рп. Черемушки</w:t>
        <w:tab/>
        <w:t xml:space="preserve"> </w:t>
        <w:tab/>
        <w:t>«___»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rPr>
        <w:t>по результатам проведенного ____________(</w:t>
      </w:r>
      <w:r>
        <w:rPr>
          <w:i/>
          <w:sz w:val="24"/>
          <w:szCs w:val="24"/>
        </w:rPr>
        <w:t>указывается закупочная процедура</w:t>
      </w:r>
      <w:r>
        <w:rPr>
          <w:sz w:val="24"/>
          <w:szCs w:val="24"/>
        </w:rPr>
        <w:t xml:space="preserve">), что подтверждается Протоколом №____ от </w:t>
      </w:r>
      <w:r>
        <w:rPr>
          <w:bCs/>
          <w:sz w:val="24"/>
          <w:szCs w:val="24"/>
        </w:rPr>
        <w:t>«_____» _________ 20 __ г.,</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Покупателю _____________________________ (далее – «Продукция») на условиях, согласованных Сторонами в Договоре, в соответствии со Спецификацией </w:t>
      </w:r>
      <w:r>
        <w:rPr>
          <w:b/>
          <w:bCs/>
          <w:sz w:val="24"/>
        </w:rPr>
        <w:t>(Приложение № 1)</w:t>
      </w:r>
      <w:r>
        <w:rPr>
          <w:b w:val="false"/>
          <w:sz w:val="24"/>
        </w:rPr>
        <w:t xml:space="preserve"> и техническими требованиями </w:t>
      </w:r>
      <w:r>
        <w:rPr>
          <w:b/>
          <w:bCs/>
          <w:sz w:val="24"/>
        </w:rPr>
        <w:t>(Приложение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Саяно-Шушенского филиала АО «Гидроремонт-ВКК» в п.Черемушки.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г. ___________, ул._______________, д.____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не позднее ____________________.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Общая стоимость Продукции (далее – «Цена Договора») по Договору составляет __________(__________________) рублей _____ копеек, в том числе НДС (20 %) в размере ___________(____________) рублей ____ копеек.</w:t>
      </w:r>
      <w:r>
        <w:rPr>
          <w:bCs/>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Оплата в соответствии с Договором осуществляется следующим образом: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2.5.1. Авансовый платеж в размере 30 % (тридцати процентов) от Цены Договора выплачивается в срок, не превышающий 30 (тридцать) календарных дней с даты получения Покупателем счета, выставленного Поставщиком, но не ранее 30 (тридцати) календарных дней до даты поставки Продукции.</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2.5.2.  Платеж в размере 70 % (семидесяти процентов) от стоимости поставленной Продукции, согласно Спецификации </w:t>
      </w:r>
      <w:bookmarkStart w:id="0" w:name="_GoBack"/>
      <w:bookmarkEnd w:id="0"/>
      <w:r>
        <w:rPr>
          <w:sz w:val="24"/>
          <w:szCs w:val="24"/>
        </w:rPr>
        <w:t>(Приложение № 1), производится Покупателем</w:t>
      </w:r>
      <w:r>
        <w:rPr>
          <w:sz w:val="24"/>
          <w:szCs w:val="24"/>
          <w:shd w:fill="auto" w:val="clear"/>
        </w:rPr>
        <w:t xml:space="preserve"> 7 (семи) рабочих дней с даты подписания Товарной накладной по форме ТОРГ-12 и</w:t>
      </w:r>
      <w:r>
        <w:rPr>
          <w:sz w:val="24"/>
          <w:szCs w:val="24"/>
        </w:rPr>
        <w:t xml:space="preserve">ли Универсального передаточного документа (УПД) на Продукцию, при условии получении счета, выставленного Поставщиком с учетом п. 2.6 Договора.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 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обязан представить Покупателю счета-фактуры </w:t>
      </w:r>
      <w:r>
        <w:rPr>
          <w:sz w:val="24"/>
          <w:szCs w:val="24"/>
          <w:shd w:fill="auto" w:val="clear"/>
        </w:rPr>
        <w:t>(УПД),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(УПД), подтвержда</w:t>
      </w:r>
      <w:r>
        <w:rPr>
          <w:sz w:val="24"/>
          <w:szCs w:val="24"/>
        </w:rPr>
        <w:t>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rFonts w:cs="Times New Roman"/>
          <w:color w:val="000000"/>
          <w:sz w:val="24"/>
          <w:szCs w:val="24"/>
          <w:shd w:fill="auto" w:val="clear"/>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качества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Технический паспорт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Инструкция по эксплуатации (монтажу и т.п.)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Упаковочный лист на Продукцию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о происхождении Продукции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w:t>
      </w:r>
      <w:r>
        <w:rPr>
          <w:sz w:val="24"/>
          <w:szCs w:val="24"/>
          <w:shd w:fill="auto" w:val="clear"/>
        </w:rPr>
        <w:t xml:space="preserve"> </w:t>
      </w:r>
      <w:r>
        <w:rPr>
          <w:rFonts w:cs="Times New Roman"/>
          <w:sz w:val="24"/>
          <w:szCs w:val="24"/>
          <w:shd w:fill="auto" w:val="clear"/>
        </w:rPr>
        <w:t>(</w:t>
      </w:r>
      <w:r>
        <w:rPr>
          <w:rFonts w:cs="Times New Roman"/>
          <w:color w:val="000000"/>
          <w:sz w:val="24"/>
          <w:szCs w:val="24"/>
          <w:shd w:fill="auto" w:val="clear"/>
        </w:rPr>
        <w:t xml:space="preserve">в ред. </w:t>
      </w:r>
      <w:hyperlink r:id="rId2">
        <w:r>
          <w:rPr>
            <w:rStyle w:val="Hyperlink"/>
            <w:rFonts w:cs="Times New Roman"/>
            <w:color w:val="000000"/>
            <w:sz w:val="24"/>
            <w:szCs w:val="24"/>
            <w:u w:val="none"/>
            <w:shd w:fill="auto" w:val="clear"/>
          </w:rPr>
          <w:t>Постановления Правительства РФ от 21.12.2020 № 2200</w:t>
        </w:r>
      </w:hyperlink>
      <w:r>
        <w:rPr>
          <w:rFonts w:cs="Times New Roman"/>
          <w:sz w:val="24"/>
          <w:szCs w:val="24"/>
          <w:shd w:fill="auto" w:val="clear"/>
        </w:rPr>
        <w:t>)</w:t>
      </w:r>
      <w:r>
        <w:rPr>
          <w:sz w:val="24"/>
          <w:szCs w:val="24"/>
          <w:shd w:fill="auto" w:val="clear"/>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shd w:fill="auto" w:val="clear"/>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shd w:fill="auto" w:val="clear"/>
        </w:rPr>
        <w:t xml:space="preserve">товарно-транспортную накладную формы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color w:val="000000"/>
          <w:sz w:val="24"/>
          <w:szCs w:val="24"/>
          <w:shd w:fill="auto" w:val="clear"/>
        </w:rPr>
        <w:t xml:space="preserve">(в ред. </w:t>
      </w:r>
      <w:hyperlink r:id="rId3">
        <w:r>
          <w:rPr>
            <w:rStyle w:val="Hyperlink"/>
            <w:rFonts w:cs="Times New Roman"/>
            <w:color w:val="000000"/>
            <w:sz w:val="24"/>
            <w:szCs w:val="24"/>
            <w:u w:val="none"/>
            <w:shd w:fill="auto" w:val="clear"/>
          </w:rPr>
          <w:t>Постановления Правительства РФ от 21.12.2020 № 2200</w:t>
        </w:r>
      </w:hyperlink>
      <w:r>
        <w:rPr>
          <w:rStyle w:val="Hyperlink"/>
          <w:rFonts w:cs="Times New Roman"/>
          <w:color w:val="000000"/>
          <w:sz w:val="24"/>
          <w:szCs w:val="24"/>
          <w:u w:val="none"/>
          <w:shd w:fill="auto" w:val="clear"/>
        </w:rPr>
        <w:t>)</w:t>
      </w:r>
      <w:r>
        <w:rPr>
          <w:rFonts w:cs="Times New Roman"/>
          <w:color w:val="000000"/>
          <w:sz w:val="24"/>
          <w:szCs w:val="24"/>
          <w:shd w:fill="auto" w:val="clear"/>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shd w:fill="auto" w:val="clear"/>
        </w:rPr>
        <w:t>При некомплектности, недо</w:t>
      </w:r>
      <w:r>
        <w:rPr>
          <w:sz w:val="24"/>
          <w:szCs w:val="24"/>
        </w:rPr>
        <w:t>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auto" w:val="clear"/>
        </w:rPr>
        <w:t>(</w:t>
      </w:r>
      <w:r>
        <w:rPr>
          <w:rFonts w:cs="Times New Roman"/>
          <w:color w:val="000000"/>
          <w:sz w:val="24"/>
          <w:szCs w:val="24"/>
          <w:shd w:fill="auto" w:val="clear"/>
        </w:rPr>
        <w:t xml:space="preserve">в ред. </w:t>
      </w:r>
      <w:hyperlink r:id="rId4">
        <w:r>
          <w:rPr>
            <w:rStyle w:val="Hyperlink"/>
            <w:rFonts w:cs="Times New Roman"/>
            <w:color w:val="000000"/>
            <w:sz w:val="24"/>
            <w:szCs w:val="24"/>
            <w:u w:val="none"/>
            <w:shd w:fill="auto" w:val="clear"/>
          </w:rPr>
          <w:t>Постановления Правительства РФ от 21.12.2020 № 2200</w:t>
        </w:r>
      </w:hyperlink>
      <w:r>
        <w:rPr>
          <w:rFonts w:cs="Times New Roman"/>
          <w:sz w:val="24"/>
          <w:szCs w:val="24"/>
          <w:shd w:fill="auto" w:val="clear"/>
        </w:rPr>
        <w:t>)</w:t>
      </w:r>
      <w:r>
        <w:rPr>
          <w:sz w:val="24"/>
          <w:szCs w:val="24"/>
          <w:shd w:fill="auto" w:val="clear"/>
        </w:rPr>
        <w:t>. В случае отсутствия з</w:t>
      </w:r>
      <w:r>
        <w:rPr>
          <w:sz w:val="24"/>
          <w:szCs w:val="24"/>
        </w:rPr>
        <w:t xml:space="preserve">амечаний Покупатель подписывает </w:t>
      </w:r>
      <w:r>
        <w:rPr>
          <w:color w:val="000000"/>
          <w:sz w:val="24"/>
          <w:szCs w:val="24"/>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 равный ________ (__________________)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360"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w:t>
      </w:r>
      <w:r>
        <w:rPr>
          <w:sz w:val="28"/>
          <w:szCs w:val="28"/>
          <w:shd w:fill="auto" w:val="clear"/>
        </w:rPr>
        <w:t xml:space="preserve"> </w:t>
      </w:r>
      <w:r>
        <w:rPr>
          <w:sz w:val="24"/>
          <w:szCs w:val="24"/>
          <w:shd w:fill="auto" w:val="clear"/>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bookmarkStart w:id="3" w:name="_Hlk130023773"/>
      <w:r>
        <w:rPr>
          <w:sz w:val="24"/>
          <w:szCs w:val="24"/>
          <w:shd w:fill="auto" w:val="clear"/>
        </w:rPr>
        <w:t xml:space="preserve">В случае </w:t>
      </w:r>
      <w:bookmarkStart w:id="4" w:name="_Hlk130023740"/>
      <w:r>
        <w:rPr>
          <w:sz w:val="24"/>
          <w:szCs w:val="24"/>
          <w:shd w:fill="auto" w:val="clear"/>
        </w:rPr>
        <w:t xml:space="preserve">нарушения </w:t>
      </w:r>
      <w:bookmarkEnd w:id="4"/>
      <w:r>
        <w:rPr>
          <w:sz w:val="24"/>
          <w:szCs w:val="24"/>
          <w:shd w:fill="auto" w:val="clear"/>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3"/>
      <w:r>
        <w:rPr>
          <w:sz w:val="24"/>
          <w:szCs w:val="24"/>
          <w:shd w:fill="auto" w:val="clear"/>
        </w:rPr>
        <w:t xml:space="preserve">. </w:t>
      </w:r>
    </w:p>
    <w:p>
      <w:pPr>
        <w:pStyle w:val="Normal"/>
        <w:tabs>
          <w:tab w:val="clear" w:pos="720"/>
          <w:tab w:val="left" w:pos="1701" w:leader="none"/>
        </w:tabs>
        <w:jc w:val="both"/>
        <w:rPr>
          <w:highlight w:val="none"/>
          <w:shd w:fill="auto" w:val="clear"/>
        </w:rPr>
      </w:pPr>
      <w:r>
        <w:rPr>
          <w:sz w:val="24"/>
          <w:szCs w:val="24"/>
          <w:shd w:fill="auto" w:val="clear"/>
        </w:rPr>
        <w:tab/>
      </w:r>
      <w:bookmarkStart w:id="5" w:name="_Hlk130023812"/>
      <w:r>
        <w:rPr>
          <w:sz w:val="24"/>
          <w:szCs w:val="24"/>
          <w:shd w:fill="auto" w:val="clear"/>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highlight w:val="none"/>
          <w:shd w:fill="auto" w:val="clear"/>
        </w:rPr>
      </w:pPr>
      <w:r>
        <w:rPr>
          <w:rFonts w:eastAsia="Calibri"/>
          <w:bCs/>
          <w:sz w:val="24"/>
          <w:szCs w:val="24"/>
          <w:shd w:fill="auto" w:val="clear"/>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shd w:fill="auto" w:val="clear"/>
        </w:rPr>
        <w:t>Продукции</w:t>
      </w:r>
      <w:r>
        <w:rPr>
          <w:rFonts w:eastAsia="Calibri"/>
          <w:bCs/>
          <w:sz w:val="24"/>
          <w:szCs w:val="24"/>
          <w:shd w:fill="auto" w:val="clear"/>
        </w:rPr>
        <w:t xml:space="preserve">, влияющих на возможность эксплуатации (использования) </w:t>
      </w:r>
      <w:r>
        <w:rPr>
          <w:sz w:val="24"/>
          <w:szCs w:val="24"/>
          <w:shd w:fill="auto" w:val="clear"/>
        </w:rPr>
        <w:t>Продукции</w:t>
      </w:r>
      <w:r>
        <w:rPr>
          <w:rFonts w:eastAsia="Calibri"/>
          <w:bCs/>
          <w:sz w:val="24"/>
          <w:szCs w:val="24"/>
          <w:shd w:fill="auto" w:val="clear"/>
        </w:rPr>
        <w:t xml:space="preserve"> в целом;</w:t>
      </w:r>
    </w:p>
    <w:p>
      <w:pPr>
        <w:pStyle w:val="Normal"/>
        <w:numPr>
          <w:ilvl w:val="0"/>
          <w:numId w:val="14"/>
        </w:numPr>
        <w:tabs>
          <w:tab w:val="clear" w:pos="720"/>
          <w:tab w:val="left" w:pos="1701" w:leader="none"/>
        </w:tabs>
        <w:ind w:left="0" w:firstLine="709"/>
        <w:jc w:val="both"/>
        <w:rPr>
          <w:highlight w:val="none"/>
          <w:shd w:fill="auto" w:val="clear"/>
        </w:rPr>
      </w:pPr>
      <w:r>
        <w:rPr>
          <w:rFonts w:eastAsia="Calibri"/>
          <w:bCs/>
          <w:sz w:val="24"/>
          <w:szCs w:val="24"/>
          <w:shd w:fill="auto" w:val="clear"/>
        </w:rPr>
        <w:t xml:space="preserve">неустойки в размере 0,1 (ноль целых и одна десятая) процента от стоимости некачественной </w:t>
      </w:r>
      <w:r>
        <w:rPr>
          <w:sz w:val="24"/>
          <w:szCs w:val="24"/>
          <w:shd w:fill="auto" w:val="clear"/>
        </w:rPr>
        <w:t>Продукции</w:t>
      </w:r>
      <w:r>
        <w:rPr>
          <w:rFonts w:eastAsia="Calibri"/>
          <w:bCs/>
          <w:sz w:val="24"/>
          <w:szCs w:val="24"/>
          <w:shd w:fill="auto" w:val="clear"/>
        </w:rPr>
        <w:t xml:space="preserve"> за каждый день просрочки – в случае несвоевременного устранения выявленных недостатков </w:t>
      </w:r>
      <w:r>
        <w:rPr>
          <w:sz w:val="24"/>
          <w:szCs w:val="24"/>
          <w:shd w:fill="auto" w:val="clear"/>
        </w:rPr>
        <w:t>Продукции</w:t>
      </w:r>
      <w:r>
        <w:rPr>
          <w:rFonts w:eastAsia="Calibri"/>
          <w:bCs/>
          <w:sz w:val="24"/>
          <w:szCs w:val="24"/>
          <w:shd w:fill="auto" w:val="clear"/>
        </w:rPr>
        <w:t xml:space="preserve">, не влияющих на возможность эксплуатации (использования) </w:t>
      </w:r>
      <w:r>
        <w:rPr>
          <w:sz w:val="24"/>
          <w:szCs w:val="24"/>
          <w:shd w:fill="auto" w:val="clear"/>
        </w:rPr>
        <w:t>Продукции</w:t>
      </w:r>
      <w:r>
        <w:rPr>
          <w:rFonts w:eastAsia="Calibri"/>
          <w:bCs/>
          <w:sz w:val="24"/>
          <w:szCs w:val="24"/>
          <w:shd w:fill="auto" w:val="clear"/>
        </w:rPr>
        <w:t xml:space="preserve"> в целом</w:t>
      </w:r>
      <w:bookmarkEnd w:id="5"/>
      <w:r>
        <w:rPr>
          <w:rFonts w:eastAsia="Calibri"/>
          <w:bCs/>
          <w:sz w:val="24"/>
          <w:szCs w:val="24"/>
          <w:shd w:fill="auto" w:val="clear"/>
        </w:rPr>
        <w:t>.</w:t>
      </w:r>
      <w:r>
        <w:rPr>
          <w:sz w:val="24"/>
          <w:szCs w:val="24"/>
          <w:shd w:fill="auto" w:val="clear"/>
        </w:rPr>
        <w:t xml:space="preserve"> </w:t>
      </w:r>
    </w:p>
    <w:p>
      <w:pPr>
        <w:pStyle w:val="Normal"/>
        <w:widowControl w:val="false"/>
        <w:shd w:val="clear" w:color="auto" w:fill="FFFFFF"/>
        <w:tabs>
          <w:tab w:val="clear" w:pos="720"/>
          <w:tab w:val="left" w:pos="1276" w:leader="none"/>
        </w:tabs>
        <w:spacing w:before="0" w:after="120"/>
        <w:jc w:val="both"/>
        <w:rPr>
          <w:highlight w:val="none"/>
          <w:shd w:fill="auto" w:val="clear"/>
        </w:rPr>
      </w:pPr>
      <w:r>
        <w:rPr>
          <w:sz w:val="24"/>
          <w:szCs w:val="24"/>
          <w:shd w:fill="auto" w:val="clear"/>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w:t>
      </w:r>
      <w:r>
        <w:rPr>
          <w:sz w:val="24"/>
          <w:szCs w:val="24"/>
        </w:rPr>
        <w:t>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w:t>
      </w:r>
      <w:r>
        <w:rPr>
          <w:sz w:val="24"/>
          <w:szCs w:val="24"/>
          <w:shd w:fill="auto" w:val="clear"/>
        </w:rPr>
        <w:t xml:space="preserve"> (УПД)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сроков, предусмотренных п. 2.9. Договора,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highlight w:val="none"/>
          <w:shd w:fill="auto" w:val="clear"/>
        </w:rPr>
      </w:pPr>
      <w:r>
        <w:rPr>
          <w:sz w:val="24"/>
          <w:szCs w:val="24"/>
          <w:shd w:fill="auto" w:val="clea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numPr>
          <w:ilvl w:val="0"/>
          <w:numId w:val="0"/>
        </w:numPr>
        <w:tabs>
          <w:tab w:val="clear" w:pos="720"/>
          <w:tab w:val="left" w:pos="567" w:leader="none"/>
        </w:tabs>
        <w:bidi w:val="0"/>
        <w:spacing w:before="0" w:after="120"/>
        <w:ind w:left="0" w:right="0" w:firstLine="567"/>
        <w:jc w:val="both"/>
        <w:outlineLvl w:val="0"/>
        <w:rPr>
          <w:highlight w:val="none"/>
          <w:shd w:fill="auto" w:val="clear"/>
        </w:rPr>
      </w:pPr>
      <w:r>
        <w:rPr>
          <w:sz w:val="24"/>
          <w:szCs w:val="24"/>
          <w:shd w:fill="auto" w:val="clear"/>
        </w:rPr>
        <w:t>6.13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highlight w:val="none"/>
          <w:shd w:fill="auto" w:val="clear"/>
        </w:rPr>
      </w:pPr>
      <w:r>
        <w:rPr>
          <w:b/>
          <w:bCs/>
          <w:sz w:val="24"/>
          <w:szCs w:val="24"/>
          <w:shd w:fill="auto" w:val="clear"/>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5">
        <w:r>
          <w:rPr>
            <w:sz w:val="24"/>
            <w:szCs w:val="24"/>
          </w:rPr>
          <w:t>№ 18162/09</w:t>
        </w:r>
      </w:hyperlink>
      <w:r>
        <w:rPr>
          <w:sz w:val="24"/>
          <w:szCs w:val="24"/>
        </w:rPr>
        <w:t xml:space="preserve"> и от 25.05.2010 </w:t>
      </w:r>
      <w:hyperlink r:id="rId6">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7">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shd w:val="clear" w:color="auto" w:fill="FFFFFF"/>
        <w:tabs>
          <w:tab w:val="left" w:pos="720" w:leader="none"/>
        </w:tabs>
        <w:spacing w:before="0" w:after="120"/>
        <w:ind w:left="567"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1 – Спецификация.</w:t>
      </w:r>
    </w:p>
    <w:p>
      <w:pPr>
        <w:pStyle w:val="Normal"/>
        <w:tabs>
          <w:tab w:val="clear" w:pos="720"/>
        </w:tabs>
        <w:overflowPunct w:val="false"/>
        <w:spacing w:before="0" w:after="120"/>
        <w:ind w:left="567" w:hanging="0"/>
        <w:jc w:val="both"/>
        <w:textAlignment w:val="baseline"/>
        <w:rPr>
          <w:b w:val="false"/>
          <w:sz w:val="24"/>
          <w:szCs w:val="24"/>
        </w:rPr>
      </w:pPr>
      <w:r>
        <w:rPr>
          <w:b w:val="false"/>
          <w:sz w:val="24"/>
          <w:szCs w:val="24"/>
        </w:rPr>
        <w:t>- Приложение № 2 – Технические требования.</w:t>
      </w:r>
    </w:p>
    <w:p>
      <w:pPr>
        <w:pStyle w:val="Normal"/>
        <w:spacing w:before="0" w:after="120"/>
        <w:ind w:left="567" w:hanging="567"/>
        <w:rPr>
          <w:sz w:val="24"/>
          <w:szCs w:val="24"/>
        </w:rPr>
      </w:pPr>
      <w:bookmarkStart w:id="7" w:name="sub_1"/>
      <w:r>
        <w:rPr>
          <w:sz w:val="24"/>
          <w:szCs w:val="24"/>
        </w:rPr>
        <w:tab/>
      </w:r>
      <w:bookmarkEnd w:id="7"/>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sz w:val="22"/>
                <w:szCs w:val="22"/>
              </w:rPr>
            </w:pPr>
            <w:r>
              <w:rPr>
                <w:sz w:val="22"/>
                <w:szCs w:val="22"/>
              </w:rPr>
            </w:r>
          </w:p>
          <w:p>
            <w:pPr>
              <w:pStyle w:val="Normal"/>
              <w:widowControl w:val="false"/>
              <w:rPr>
                <w:b/>
                <w:sz w:val="22"/>
                <w:szCs w:val="22"/>
              </w:rPr>
            </w:pPr>
            <w:r>
              <w:rPr>
                <w:b/>
                <w:sz w:val="22"/>
                <w:szCs w:val="22"/>
              </w:rPr>
              <w:t>Акционерное общество</w:t>
            </w:r>
          </w:p>
          <w:p>
            <w:pPr>
              <w:pStyle w:val="Normal"/>
              <w:widowControl w:val="false"/>
              <w:rPr>
                <w:b/>
                <w:sz w:val="22"/>
                <w:szCs w:val="22"/>
              </w:rPr>
            </w:pPr>
            <w:r>
              <w:rPr>
                <w:b/>
                <w:sz w:val="22"/>
                <w:szCs w:val="22"/>
              </w:rPr>
              <w:t>«Гидроремонт-ВКК» (АО «Гидроремонт-ВКК»)</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8"/>
          <w:footerReference w:type="even" r:id="rId9"/>
          <w:footerReference w:type="default" r:id="rId10"/>
          <w:footerReference w:type="first" r:id="rId11"/>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left="0" w:firstLine="567"/>
        <w:jc w:val="center"/>
        <w:outlineLvl w:val="0"/>
        <w:rPr>
          <w:b/>
          <w:sz w:val="24"/>
          <w:szCs w:val="24"/>
        </w:rPr>
      </w:pPr>
      <w:r>
        <w:rPr>
          <w:b/>
          <w:sz w:val="24"/>
          <w:szCs w:val="24"/>
        </w:rPr>
        <w:t>Спецификация №__</w:t>
      </w:r>
    </w:p>
    <w:p>
      <w:pPr>
        <w:pStyle w:val="Normal"/>
        <w:numPr>
          <w:ilvl w:val="0"/>
          <w:numId w:val="0"/>
        </w:numPr>
        <w:spacing w:before="0" w:after="120"/>
        <w:ind w:left="0" w:firstLine="567"/>
        <w:jc w:val="center"/>
        <w:outlineLvl w:val="0"/>
        <w:rPr>
          <w:b/>
          <w:i/>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tbl>
      <w:tblPr>
        <w:tblW w:w="10632"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bCs/>
                <w:sz w:val="22"/>
                <w:szCs w:val="22"/>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22"/>
                <w:szCs w:val="24"/>
              </w:rPr>
            </w:pPr>
            <w:r>
              <w:rPr>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20"/>
        </w:numPr>
        <w:tabs>
          <w:tab w:val="left" w:pos="720" w:leader="none"/>
        </w:tabs>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21"/>
        </w:numPr>
        <w:tabs>
          <w:tab w:val="left" w:pos="720" w:leader="none"/>
        </w:tabs>
        <w:spacing w:before="0" w:after="120"/>
        <w:ind w:left="0" w:firstLine="284"/>
        <w:jc w:val="both"/>
        <w:rPr>
          <w:sz w:val="24"/>
          <w:szCs w:val="24"/>
        </w:rPr>
      </w:pPr>
      <w:r>
        <w:rPr>
          <w:sz w:val="24"/>
          <w:szCs w:val="24"/>
        </w:rPr>
        <w:t>Наименование производителя: ______________________;</w:t>
      </w:r>
    </w:p>
    <w:p>
      <w:pPr>
        <w:pStyle w:val="Normal"/>
        <w:widowControl w:val="false"/>
        <w:numPr>
          <w:ilvl w:val="0"/>
          <w:numId w:val="22"/>
        </w:numPr>
        <w:tabs>
          <w:tab w:val="left" w:pos="720" w:leader="none"/>
        </w:tabs>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23"/>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BodyText"/>
        <w:spacing w:before="0" w:after="120"/>
        <w:ind w:firstLine="567"/>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i/>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i/>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r>
    </w:p>
    <w:p>
      <w:pPr>
        <w:pStyle w:val="BodyText"/>
        <w:numPr>
          <w:ilvl w:val="0"/>
          <w:numId w:val="0"/>
        </w:numPr>
        <w:spacing w:before="0" w:after="120"/>
        <w:ind w:left="0" w:hanging="0"/>
        <w:outlineLvl w:val="0"/>
        <w:rPr>
          <w:b/>
          <w:bCs/>
          <w:sz w:val="24"/>
          <w:szCs w:val="24"/>
        </w:rPr>
      </w:pPr>
      <w:r>
        <w:rPr/>
      </w:r>
    </w:p>
    <w:p>
      <w:pPr>
        <w:pStyle w:val="BodyText"/>
        <w:numPr>
          <w:ilvl w:val="0"/>
          <w:numId w:val="0"/>
        </w:numPr>
        <w:spacing w:before="0" w:after="120"/>
        <w:ind w:left="0" w:hanging="0"/>
        <w:outlineLvl w:val="0"/>
        <w:rPr>
          <w:b/>
          <w:bCs/>
          <w:sz w:val="24"/>
          <w:szCs w:val="24"/>
        </w:rPr>
      </w:pPr>
      <w:r>
        <w:rPr/>
      </w:r>
    </w:p>
    <w:p>
      <w:pPr>
        <w:pStyle w:val="BodyText"/>
        <w:numPr>
          <w:ilvl w:val="0"/>
          <w:numId w:val="0"/>
        </w:numPr>
        <w:spacing w:before="0" w:after="120"/>
        <w:ind w:left="0" w:hanging="0"/>
        <w:outlineLvl w:val="0"/>
        <w:rPr>
          <w:b/>
          <w:bCs/>
          <w:sz w:val="24"/>
          <w:szCs w:val="24"/>
        </w:rPr>
      </w:pPr>
      <w:r>
        <w:rPr/>
      </w:r>
    </w:p>
    <w:p>
      <w:pPr>
        <w:pStyle w:val="BodyText"/>
        <w:numPr>
          <w:ilvl w:val="0"/>
          <w:numId w:val="0"/>
        </w:numPr>
        <w:spacing w:before="0" w:after="120"/>
        <w:ind w:left="0" w:hanging="0"/>
        <w:outlineLvl w:val="0"/>
        <w:rPr>
          <w:b/>
          <w:bCs/>
          <w:sz w:val="24"/>
          <w:szCs w:val="24"/>
        </w:rPr>
      </w:pPr>
      <w:r>
        <w:rPr/>
      </w:r>
    </w:p>
    <w:p>
      <w:pPr>
        <w:pStyle w:val="BodyText"/>
        <w:numPr>
          <w:ilvl w:val="0"/>
          <w:numId w:val="0"/>
        </w:numPr>
        <w:spacing w:before="0" w:after="120"/>
        <w:ind w:left="0" w:hanging="0"/>
        <w:jc w:val="right"/>
        <w:outlineLvl w:val="0"/>
        <w:rPr/>
      </w:pPr>
      <w:r>
        <w:rPr/>
        <w:t>Приложение № 2</w:t>
      </w:r>
    </w:p>
    <w:p>
      <w:pPr>
        <w:pStyle w:val="BodyText"/>
        <w:numPr>
          <w:ilvl w:val="0"/>
          <w:numId w:val="0"/>
        </w:numPr>
        <w:spacing w:before="0" w:after="120"/>
        <w:ind w:left="0" w:hanging="0"/>
        <w:jc w:val="right"/>
        <w:outlineLvl w:val="0"/>
        <w:rPr/>
      </w:pPr>
      <w:r>
        <w:rPr/>
        <w:t xml:space="preserve">к договору поставки </w:t>
      </w:r>
    </w:p>
    <w:p>
      <w:pPr>
        <w:pStyle w:val="BodyText"/>
        <w:numPr>
          <w:ilvl w:val="0"/>
          <w:numId w:val="0"/>
        </w:numPr>
        <w:spacing w:before="0" w:after="120"/>
        <w:ind w:left="0" w:hanging="0"/>
        <w:jc w:val="right"/>
        <w:outlineLvl w:val="0"/>
        <w:rPr/>
      </w:pPr>
      <w:r>
        <w:rPr/>
        <w:t xml:space="preserve">№ </w:t>
      </w:r>
      <w:r>
        <w:rPr/>
        <w:t>_____от «___» _________ ______ г.</w:t>
      </w:r>
    </w:p>
    <w:p>
      <w:pPr>
        <w:pStyle w:val="BodyText"/>
        <w:numPr>
          <w:ilvl w:val="0"/>
          <w:numId w:val="0"/>
        </w:numPr>
        <w:spacing w:before="0" w:after="120"/>
        <w:ind w:left="0" w:hanging="0"/>
        <w:jc w:val="right"/>
        <w:outlineLvl w:val="0"/>
        <w:rPr/>
      </w:pPr>
      <w:r>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jc w:val="center"/>
        <w:outlineLvl w:val="0"/>
        <w:rPr>
          <w:b/>
          <w:bCs/>
        </w:rPr>
      </w:pPr>
      <w:r>
        <w:rPr>
          <w:b/>
          <w:bCs/>
        </w:rPr>
        <w:t>ТЕХНИЧЕСКИЕ ТРЕБОВАНИЯ</w:t>
      </w:r>
    </w:p>
    <w:p>
      <w:pPr>
        <w:pStyle w:val="BodyText"/>
        <w:numPr>
          <w:ilvl w:val="0"/>
          <w:numId w:val="0"/>
        </w:numPr>
        <w:spacing w:before="0" w:after="120"/>
        <w:ind w:left="0" w:hanging="0"/>
        <w:jc w:val="center"/>
        <w:outlineLvl w:val="0"/>
        <w:rPr>
          <w:b/>
          <w:bCs/>
        </w:rPr>
      </w:pPr>
      <w:r>
        <w:rPr>
          <w:b/>
          <w:bCs/>
        </w:rPr>
      </w:r>
    </w:p>
    <w:p>
      <w:pPr>
        <w:pStyle w:val="BodyText"/>
        <w:numPr>
          <w:ilvl w:val="0"/>
          <w:numId w:val="0"/>
        </w:numPr>
        <w:spacing w:before="0" w:after="120"/>
        <w:ind w:left="0" w:hanging="0"/>
        <w:jc w:val="center"/>
        <w:outlineLvl w:val="0"/>
        <w:rPr>
          <w:b/>
          <w:bCs/>
        </w:rPr>
      </w:pPr>
      <w:r>
        <w:rPr>
          <w:b/>
          <w:bCs/>
        </w:rPr>
      </w:r>
    </w:p>
    <w:p>
      <w:pPr>
        <w:pStyle w:val="BodyText"/>
        <w:numPr>
          <w:ilvl w:val="0"/>
          <w:numId w:val="0"/>
        </w:numPr>
        <w:spacing w:before="0" w:after="120"/>
        <w:ind w:left="0" w:hanging="0"/>
        <w:jc w:val="center"/>
        <w:outlineLvl w:val="0"/>
        <w:rPr>
          <w:b/>
          <w:bCs/>
        </w:rPr>
      </w:pPr>
      <w:r>
        <w:rPr>
          <w:b/>
          <w:bCs/>
        </w:rPr>
      </w:r>
    </w:p>
    <w:p>
      <w:pPr>
        <w:pStyle w:val="BodyText"/>
        <w:numPr>
          <w:ilvl w:val="0"/>
          <w:numId w:val="0"/>
        </w:numPr>
        <w:spacing w:before="0" w:after="120"/>
        <w:ind w:left="0" w:hanging="0"/>
        <w:jc w:val="center"/>
        <w:outlineLvl w:val="0"/>
        <w:rPr>
          <w:b/>
          <w:bCs/>
        </w:rPr>
      </w:pPr>
      <w:r>
        <w:rPr>
          <w:b/>
          <w:bCs/>
        </w:rPr>
      </w:r>
    </w:p>
    <w:p>
      <w:pPr>
        <w:pStyle w:val="BodyText"/>
        <w:numPr>
          <w:ilvl w:val="0"/>
          <w:numId w:val="0"/>
        </w:numPr>
        <w:spacing w:before="0" w:after="120"/>
        <w:ind w:left="0" w:hanging="0"/>
        <w:jc w:val="center"/>
        <w:outlineLvl w:val="0"/>
        <w:rPr>
          <w:b/>
          <w:bCs/>
        </w:rPr>
      </w:pPr>
      <w:r>
        <w:rPr>
          <w:b/>
          <w:bCs/>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Normal"/>
        <w:numPr>
          <w:ilvl w:val="0"/>
          <w:numId w:val="0"/>
        </w:numPr>
        <w:spacing w:before="0" w:after="120"/>
        <w:ind w:left="0" w:hanging="0"/>
        <w:outlineLvl w:val="0"/>
        <w:rPr>
          <w:b/>
          <w:bCs/>
          <w:sz w:val="24"/>
          <w:szCs w:val="24"/>
        </w:rPr>
      </w:pPr>
      <w:r>
        <w:rPr/>
      </w:r>
    </w:p>
    <w:sectPr>
      <w:headerReference w:type="default" r:id="rId12"/>
      <w:headerReference w:type="first" r:id="rId13"/>
      <w:footerReference w:type="even" r:id="rId14"/>
      <w:footerReference w:type="default" r:id="rId15"/>
      <w:footerReference w:type="first" r:id="rId16"/>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4">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4">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5"/>
    <w:lvlOverride w:ilvl="0">
      <w:startOverride w:val="1"/>
    </w:lvlOverride>
  </w:num>
  <w:num w:numId="21">
    <w:abstractNumId w:val="15"/>
  </w:num>
  <w:num w:numId="22">
    <w:abstractNumId w:val="15"/>
  </w:num>
  <w:num w:numId="23">
    <w:abstractNumId w:val="15"/>
  </w:num>
</w:numbering>
</file>

<file path=word/settings.xml><?xml version="1.0" encoding="utf-8"?>
<w:settings xmlns:w="http://schemas.openxmlformats.org/wordprocessingml/2006/main">
  <w:zoom w:percent="98"/>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FootnoteCharacters">
    <w:name w:val="Footnote Characters"/>
    <w:qFormat/>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fals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fals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false"/>
      <w:jc w:val="both"/>
      <w:textAlignment w:val="baseline"/>
    </w:pPr>
    <w:rPr>
      <w:bCs/>
      <w:sz w:val="24"/>
      <w:szCs w:val="24"/>
      <w:lang w:val="x-none" w:eastAsia="x-none"/>
    </w:rPr>
  </w:style>
  <w:style w:type="paragraph" w:styleId="Style21">
    <w:name w:val="Содержимое врезки"/>
    <w:basedOn w:val="Normal"/>
    <w:qFormat/>
    <w:pPr/>
    <w:rPr/>
  </w:style>
  <w:style w:type="paragraph" w:styleId="Style22">
    <w:name w:val="Таблица текст"/>
    <w:basedOn w:val="Normal"/>
    <w:qFormat/>
    <w:pPr>
      <w:spacing w:before="40" w:after="40"/>
      <w:ind w:left="57" w:right="57" w:hanging="0"/>
    </w:pPr>
    <w:rPr>
      <w:sz w:val="24"/>
      <w:szCs w:val="24"/>
    </w:rPr>
  </w:style>
  <w:style w:type="paragraph" w:styleId="Style23">
    <w:name w:val="Знак Знак Знак Знак"/>
    <w:basedOn w:val="Normal"/>
    <w:qFormat/>
    <w:pPr>
      <w:spacing w:lineRule="exact" w:line="240" w:before="0" w:after="160"/>
    </w:pPr>
    <w:rPr>
      <w:rFonts w:ascii="Verdana" w:hAnsi="Verdana" w:cs="Verdana"/>
      <w:lang w:val="en-US" w:eastAsia="en-U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371981/" TargetMode="External"/><Relationship Id="rId3" Type="http://schemas.openxmlformats.org/officeDocument/2006/relationships/hyperlink" Target="https://www.consultant.ru/document/cons_doc_LAW_371981/" TargetMode="External"/><Relationship Id="rId4" Type="http://schemas.openxmlformats.org/officeDocument/2006/relationships/hyperlink" Target="https://www.consultant.ru/document/cons_doc_LAW_371981/" TargetMode="External"/><Relationship Id="rId5" Type="http://schemas.openxmlformats.org/officeDocument/2006/relationships/hyperlink" Target="consultantplus://offline/ref=94D5CE8889791A29DE57299515463A9D6134D8237B999C803E6F853513x2A2P" TargetMode="External"/><Relationship Id="rId6" Type="http://schemas.openxmlformats.org/officeDocument/2006/relationships/hyperlink" Target="consultantplus://offline/ref=94D5CE8889791A29DE57299515463A9D6135D2287D929C803E6F853513x2A2P" TargetMode="External"/><Relationship Id="rId7" Type="http://schemas.openxmlformats.org/officeDocument/2006/relationships/hyperlink" Target="consultantplus://offline/ref=79440D5123ABA6A25F43346AB59DBAAC7032C8E1556DA64FAED62E167F76889C2B7C475C32EFC59BJ8rDH"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254ED-FA12-4A2F-B577-9B1701F56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Application>AlterOffice/3.4.0.9$Linux_X86_64 LibreOffice_project/b8daf9e823b1a5463a2f48435ddc2e8696e7d4fc</Application>
  <AppVersion>15.0000</AppVersion>
  <Pages>20</Pages>
  <Words>6711</Words>
  <Characters>48129</Characters>
  <CharactersWithSpaces>54374</CharactersWithSpaces>
  <Paragraphs>359</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2017-11-07T14:49:00Z</dcterms:created>
  <dc:creator>Света &amp; Алла (Twix)</dc:creator>
  <dc:description/>
  <dc:language>ru-RU</dc:language>
  <cp:lastModifiedBy/>
  <cp:lastPrinted>2017-11-07T14:48:00Z</cp:lastPrinted>
  <dcterms:modified xsi:type="dcterms:W3CDTF">2026-06-15T12:58:04Z</dcterms:modified>
  <cp:revision>60</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