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13.xml" ContentType="application/vnd.openxmlformats-officedocument.wordprocessingml.header+xml"/>
  <Override PartName="/word/footer10.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settings.xml" ContentType="application/vnd.openxmlformats-officedocument.wordprocessingml.setting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_rels/document.xml.rels" ContentType="application/vnd.openxmlformats-package.relationships+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3.docx" ContentType="application/vnd.openxmlformats-officedocument.wordprocessingml.document"/>
  <Override PartName="/word/embeddings/oleObject4.xlsx" ContentType="application/vnd.openxmlformats-officedocument.spreadsheetml.sheet"/>
  <Override PartName="/word/header14.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footer12.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15.xml" ContentType="application/vnd.openxmlformats-officedocument.wordprocessingml.header+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theme/theme1.xml" ContentType="application/vnd.openxmlformats-officedocument.theme+xml"/>
  <Override PartName="/word/header7.xml" ContentType="application/vnd.openxmlformats-officedocument.wordprocessingml.header+xml"/>
  <Override PartName="/word/header10.xml" ContentType="application/vnd.openxmlformats-officedocument.wordprocessingml.header+xml"/>
  <Override PartName="/word/header5.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3.xml" ContentType="application/vnd.openxmlformats-officedocument.wordprocessingml.footer+xml"/>
  <Override PartName="/word/footer11.xml" ContentType="application/vnd.openxmlformats-officedocument.wordprocessingml.footer+xml"/>
  <Override PartName="/word/document.xml" ContentType="application/vnd.openxmlformats-officedocument.wordprocessingml.document.main+xml"/>
  <Override PartName="/word/header6.xml" ContentType="application/vnd.openxmlformats-officedocument.wordprocessingml.header+xml"/>
  <Override PartName="/word/footer7.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8"/>
        <w:keepNext w:val="true"/>
        <w:spacing w:before="120" w:after="0"/>
        <w:ind w:left="4536" w:hanging="0"/>
        <w:jc w:val="right"/>
        <w:rPr/>
      </w:pPr>
      <w:r>
        <w:rPr/>
      </w:r>
    </w:p>
    <w:p>
      <w:pPr>
        <w:pStyle w:val="Style28"/>
        <w:ind w:hanging="0"/>
        <w:jc w:val="left"/>
        <w:rPr/>
      </w:pPr>
      <w:r>
        <w:rPr/>
        <w:drawing>
          <wp:inline distT="0" distB="0" distL="0" distR="0">
            <wp:extent cx="6261100" cy="100584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261100" cy="1005840"/>
                    </a:xfrm>
                    <a:prstGeom prst="rect">
                      <a:avLst/>
                    </a:prstGeom>
                  </pic:spPr>
                </pic:pic>
              </a:graphicData>
            </a:graphic>
          </wp:inline>
        </w:drawing>
      </w:r>
    </w:p>
    <w:p>
      <w:pPr>
        <w:pStyle w:val="Style28"/>
        <w:ind w:left="4536" w:hanging="0"/>
        <w:jc w:val="left"/>
        <w:rPr/>
      </w:pPr>
      <w:r>
        <w:rPr/>
      </w:r>
    </w:p>
    <w:p>
      <w:pPr>
        <w:pStyle w:val="Style28"/>
        <w:ind w:left="4536" w:hanging="0"/>
        <w:jc w:val="right"/>
        <w:rPr/>
      </w:pPr>
      <w:r>
        <w:rPr/>
      </w:r>
    </w:p>
    <w:p>
      <w:pPr>
        <w:pStyle w:val="Style28"/>
        <w:ind w:left="4536" w:hanging="0"/>
        <w:jc w:val="right"/>
        <w:rPr/>
      </w:pPr>
      <w:r>
        <w:rPr/>
      </w:r>
    </w:p>
    <w:p>
      <w:pPr>
        <w:pStyle w:val="Style28"/>
        <w:ind w:left="4536" w:hanging="0"/>
        <w:jc w:val="right"/>
        <w:rPr/>
      </w:pPr>
      <w:r>
        <w:rPr/>
      </w:r>
    </w:p>
    <w:p>
      <w:pPr>
        <w:pStyle w:val="Style28"/>
        <w:rPr/>
      </w:pPr>
      <w:r>
        <w:rPr/>
      </w:r>
    </w:p>
    <w:p>
      <w:pPr>
        <w:pStyle w:val="Style28"/>
        <w:rPr/>
      </w:pPr>
      <w:r>
        <w:rPr/>
      </w:r>
    </w:p>
    <w:p>
      <w:pPr>
        <w:pStyle w:val="Style28"/>
        <w:rPr/>
      </w:pPr>
      <w:r>
        <w:rPr/>
      </w:r>
    </w:p>
    <w:p>
      <w:pPr>
        <w:pStyle w:val="Style28"/>
        <w:rPr/>
      </w:pPr>
      <w:r>
        <w:rPr/>
      </w:r>
    </w:p>
    <w:p>
      <w:pPr>
        <w:pStyle w:val="Style28"/>
        <w:keepNext w:val="true"/>
        <w:numPr>
          <w:ilvl w:val="0"/>
          <w:numId w:val="0"/>
        </w:numPr>
        <w:ind w:left="0" w:hanging="0"/>
        <w:jc w:val="center"/>
        <w:outlineLvl w:val="2"/>
        <w:rPr>
          <w:b/>
          <w:bCs/>
          <w:caps/>
        </w:rPr>
      </w:pPr>
      <w:r>
        <w:rPr>
          <w:b/>
          <w:bCs/>
          <w:caps/>
        </w:rPr>
        <w:t>Документация о закупке</w:t>
      </w:r>
    </w:p>
    <w:p>
      <w:pPr>
        <w:pStyle w:val="Style28"/>
        <w:keepNext w:val="true"/>
        <w:spacing w:before="240" w:after="0"/>
        <w:jc w:val="center"/>
        <w:rPr>
          <w:rStyle w:val="Style10"/>
        </w:rPr>
      </w:pPr>
      <w:r>
        <w:rPr/>
        <w:t>Состязательный отбор в электронной форме, участниками которого могут быть только субъекты МСП на право заключения договора на </w:t>
      </w:r>
    </w:p>
    <w:p>
      <w:pPr>
        <w:pStyle w:val="Normal"/>
        <w:widowControl w:val="false"/>
        <w:spacing w:lineRule="auto" w:line="240" w:before="60" w:after="60"/>
        <w:ind w:left="-108" w:right="-108" w:hanging="0"/>
        <w:jc w:val="center"/>
        <w:rPr/>
      </w:pPr>
      <w:r>
        <w:rPr>
          <w:rStyle w:val="Style10"/>
          <w:rFonts w:eastAsia="Calibri" w:cs="" w:cstheme="minorBidi" w:eastAsiaTheme="minorHAnsi"/>
          <w:i w:val="false"/>
          <w:iCs w:val="false"/>
          <w:color w:val="000000"/>
          <w:kern w:val="0"/>
          <w:sz w:val="26"/>
          <w:szCs w:val="26"/>
          <w:shd w:fill="FFFFFF" w:val="clear"/>
          <w:lang w:val="ru-RU" w:eastAsia="en-US" w:bidi="ar-SA"/>
        </w:rPr>
        <w:t>«</w:t>
      </w:r>
      <w:r>
        <w:rPr>
          <w:rStyle w:val="Style10"/>
          <w:rFonts w:eastAsia="Calibri" w:cs=""/>
          <w:i w:val="false"/>
          <w:iCs w:val="false"/>
          <w:color w:val="000000"/>
          <w:kern w:val="0"/>
          <w:sz w:val="26"/>
          <w:szCs w:val="26"/>
          <w:shd w:fill="FFFFFF" w:val="clear"/>
          <w:lang w:val="ru-RU" w:eastAsia="en-US" w:bidi="ar-SA"/>
        </w:rPr>
        <w:t>ОКПД2 26.51.66.131 Поставка виброанализатора (1 шт.) для нужд филиала ПАО «РусГидро» - «Бурейская ГЭС</w:t>
      </w:r>
      <w:r>
        <w:rPr>
          <w:rStyle w:val="Style10"/>
          <w:rFonts w:eastAsia="Calibri" w:cs="" w:cstheme="minorBidi" w:eastAsiaTheme="minorHAnsi"/>
          <w:i w:val="false"/>
          <w:iCs w:val="false"/>
          <w:color w:val="000000"/>
          <w:kern w:val="0"/>
          <w:sz w:val="26"/>
          <w:szCs w:val="26"/>
          <w:shd w:fill="FFFFFF" w:val="clear"/>
          <w:lang w:val="ru-RU" w:eastAsia="en-US" w:bidi="ar-SA"/>
        </w:rPr>
        <w:t>»</w:t>
      </w:r>
    </w:p>
    <w:p>
      <w:pPr>
        <w:sectPr>
          <w:type w:val="nextPage"/>
          <w:pgSz w:w="11906" w:h="16838"/>
          <w:pgMar w:left="1134" w:right="850" w:gutter="0" w:header="0" w:top="851" w:footer="0" w:bottom="851"/>
          <w:pgNumType w:fmt="decimal"/>
          <w:formProt w:val="false"/>
          <w:textDirection w:val="lrTb"/>
          <w:docGrid w:type="default" w:linePitch="360" w:charSpace="0"/>
        </w:sectPr>
        <w:pStyle w:val="Style28"/>
        <w:keepNext w:val="true"/>
        <w:widowControl/>
        <w:suppressAutoHyphens w:val="true"/>
        <w:bidi w:val="0"/>
        <w:spacing w:before="240" w:after="0"/>
        <w:ind w:left="0" w:right="0" w:hanging="0"/>
        <w:jc w:val="center"/>
        <w:rPr/>
      </w:pPr>
      <w:r>
        <w:rPr/>
        <w:t xml:space="preserve">(Лот № </w:t>
      </w:r>
      <w:r>
        <w:rPr>
          <w:i w:val="false"/>
          <w:iCs w:val="false"/>
          <w:sz w:val="26"/>
          <w:szCs w:val="26"/>
          <w:lang w:eastAsia="en-US"/>
        </w:rPr>
        <w:t>16-ТПиР-ОНМ-2026-БурГЭС</w:t>
      </w:r>
      <w:r>
        <w:rPr>
          <w:i w:val="false"/>
          <w:iCs w:val="false"/>
        </w:rPr>
        <w:t>)</w:t>
      </w:r>
    </w:p>
    <w:p>
      <w:pPr>
        <w:pStyle w:val="Style27"/>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18"/>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Пункт,3,[РГ] Пункт,3,[РГ] Пункт,3,[РГ] Пункт,3,[РГ] Пункт,3,[РГ] Пункт,3,[РГ]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 \h</w:instrText>
          </w:r>
          <w:r>
            <w:rPr>
              <w:webHidden/>
              <w:rStyle w:val="Style18"/>
              <w:vanish w:val="false"/>
            </w:rPr>
            <w:fldChar w:fldCharType="separate"/>
          </w:r>
          <w:hyperlink w:anchor="_Toc186224270">
            <w:r>
              <w:rPr>
                <w:webHidden/>
              </w:rPr>
              <w:fldChar w:fldCharType="begin"/>
            </w:r>
            <w:r>
              <w:rPr>
                <w:webHidden/>
              </w:rPr>
              <w:instrText xml:space="preserve">PAGEREF _Toc186224270 \h</w:instrText>
            </w:r>
            <w:r>
              <w:rPr>
                <w:webHidden/>
              </w:rPr>
              <w:fldChar w:fldCharType="separate"/>
            </w:r>
            <w:r>
              <w:rPr>
                <w:webHidden/>
                <w:rStyle w:val="Style18"/>
                <w:vanish w:val="false"/>
              </w:rPr>
              <w:t>Сокращения</w:t>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1">
            <w:r>
              <w:rPr>
                <w:webHidden/>
              </w:rPr>
              <w:fldChar w:fldCharType="begin"/>
            </w:r>
            <w:r>
              <w:rPr>
                <w:webHidden/>
              </w:rPr>
              <w:instrText xml:space="preserve">PAGEREF _Toc186224271 \h</w:instrText>
            </w:r>
            <w:r>
              <w:rPr>
                <w:webHidden/>
              </w:rPr>
              <w:fldChar w:fldCharType="separate"/>
            </w:r>
            <w:r>
              <w:rPr>
                <w:webHidden/>
                <w:rStyle w:val="Style18"/>
                <w:vanish w:val="false"/>
              </w:rPr>
              <w:t>Термины и определения</w:t>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2">
            <w:r>
              <w:rPr>
                <w:webHidden/>
                <w:rStyle w:val="Style18"/>
                <w:vanish w:val="false"/>
              </w:rPr>
              <w:t>1.</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Основные сведения о закупке</w:t>
            </w:r>
            <w:r>
              <w:rPr>
                <w:webHidden/>
              </w:rPr>
              <w:fldChar w:fldCharType="begin"/>
            </w:r>
            <w:r>
              <w:rPr>
                <w:webHidden/>
              </w:rPr>
              <w:instrText xml:space="preserve">PAGEREF _Toc186224272 \h</w:instrText>
            </w:r>
            <w:r>
              <w:rPr>
                <w:webHidden/>
              </w:rPr>
              <w:fldChar w:fldCharType="separate"/>
            </w:r>
            <w:r>
              <w:rPr>
                <w:rStyle w:val="Style18"/>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3">
            <w:r>
              <w:rPr>
                <w:webHidden/>
                <w:rStyle w:val="Style18"/>
                <w:vanish w:val="false"/>
              </w:rPr>
              <w:t>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Статус настоящего раздела</w:t>
            </w:r>
            <w:r>
              <w:rPr>
                <w:webHidden/>
              </w:rPr>
              <w:fldChar w:fldCharType="begin"/>
            </w:r>
            <w:r>
              <w:rPr>
                <w:webHidden/>
              </w:rPr>
              <w:instrText xml:space="preserve">PAGEREF _Toc186224273 \h</w:instrText>
            </w:r>
            <w:r>
              <w:rPr>
                <w:webHidden/>
              </w:rPr>
              <w:fldChar w:fldCharType="separate"/>
            </w:r>
            <w:r>
              <w:rPr>
                <w:rStyle w:val="Style18"/>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4">
            <w:r>
              <w:rPr>
                <w:webHidden/>
                <w:rStyle w:val="Style18"/>
                <w:vanish w:val="false"/>
              </w:rPr>
              <w:t>1.2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Информация о проводимой закупке</w:t>
            </w:r>
            <w:r>
              <w:rPr>
                <w:webHidden/>
              </w:rPr>
              <w:fldChar w:fldCharType="begin"/>
            </w:r>
            <w:r>
              <w:rPr>
                <w:webHidden/>
              </w:rPr>
              <w:instrText xml:space="preserve">PAGEREF _Toc186224274 \h</w:instrText>
            </w:r>
            <w:r>
              <w:rPr>
                <w:webHidden/>
              </w:rPr>
              <w:fldChar w:fldCharType="separate"/>
            </w:r>
            <w:r>
              <w:rPr>
                <w:rStyle w:val="Style18"/>
                <w:vanish w:val="false"/>
              </w:rPr>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5">
            <w:r>
              <w:rPr>
                <w:webHidden/>
                <w:rStyle w:val="Style18"/>
                <w:vanish w:val="false"/>
              </w:rPr>
              <w:t>2.</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Общие положения</w:t>
            </w:r>
            <w:r>
              <w:rPr>
                <w:webHidden/>
              </w:rPr>
              <w:fldChar w:fldCharType="begin"/>
            </w:r>
            <w:r>
              <w:rPr>
                <w:webHidden/>
              </w:rPr>
              <w:instrText xml:space="preserve">PAGEREF _Toc186224275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6">
            <w:r>
              <w:rPr>
                <w:webHidden/>
                <w:rStyle w:val="Style18"/>
                <w:vanish w:val="false"/>
              </w:rPr>
              <w:t>2.1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сведения о закупке</w:t>
            </w:r>
            <w:r>
              <w:rPr>
                <w:webHidden/>
              </w:rPr>
              <w:fldChar w:fldCharType="begin"/>
            </w:r>
            <w:r>
              <w:rPr>
                <w:webHidden/>
              </w:rPr>
              <w:instrText xml:space="preserve">PAGEREF _Toc186224276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7">
            <w:r>
              <w:rPr>
                <w:webHidden/>
                <w:rStyle w:val="Style18"/>
                <w:vanish w:val="false"/>
              </w:rPr>
              <w:t>2.2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Правовой статус документов</w:t>
            </w:r>
            <w:r>
              <w:rPr>
                <w:webHidden/>
              </w:rPr>
              <w:fldChar w:fldCharType="begin"/>
            </w:r>
            <w:r>
              <w:rPr>
                <w:webHidden/>
              </w:rPr>
              <w:instrText xml:space="preserve">PAGEREF _Toc186224277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8">
            <w:r>
              <w:rPr>
                <w:webHidden/>
                <w:rStyle w:val="Style18"/>
                <w:vanish w:val="false"/>
              </w:rPr>
              <w:t>2.3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Обжалование</w:t>
            </w:r>
            <w:r>
              <w:rPr>
                <w:webHidden/>
              </w:rPr>
              <w:fldChar w:fldCharType="begin"/>
            </w:r>
            <w:r>
              <w:rPr>
                <w:webHidden/>
              </w:rPr>
              <w:instrText xml:space="preserve">PAGEREF _Toc186224278 \h</w:instrText>
            </w:r>
            <w:r>
              <w:rPr>
                <w:webHidden/>
              </w:rPr>
              <w:fldChar w:fldCharType="separate"/>
            </w:r>
            <w:r>
              <w:rPr>
                <w:rStyle w:val="Style18"/>
                <w:vanish w:val="false"/>
              </w:rPr>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9">
            <w:r>
              <w:rPr>
                <w:webHidden/>
                <w:rStyle w:val="Style18"/>
                <w:vanish w:val="false"/>
              </w:rPr>
              <w:t>2.4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Особые положения при проведении закупки с использованием ЭП</w:t>
            </w:r>
            <w:r>
              <w:rPr>
                <w:webHidden/>
              </w:rPr>
              <w:fldChar w:fldCharType="begin"/>
            </w:r>
            <w:r>
              <w:rPr>
                <w:webHidden/>
              </w:rPr>
              <w:instrText xml:space="preserve">PAGEREF _Toc186224279 \h</w:instrText>
            </w:r>
            <w:r>
              <w:rPr>
                <w:webHidden/>
              </w:rPr>
              <w:fldChar w:fldCharType="separate"/>
            </w:r>
            <w:r>
              <w:rPr>
                <w:rStyle w:val="Style18"/>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0">
            <w:r>
              <w:rPr>
                <w:webHidden/>
                <w:rStyle w:val="Style18"/>
                <w:vanish w:val="false"/>
              </w:rPr>
              <w:t>2.5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Прочие положения</w:t>
            </w:r>
            <w:r>
              <w:rPr>
                <w:webHidden/>
              </w:rPr>
              <w:fldChar w:fldCharType="begin"/>
            </w:r>
            <w:r>
              <w:rPr>
                <w:webHidden/>
              </w:rPr>
              <w:instrText xml:space="preserve">PAGEREF _Toc186224280 \h</w:instrText>
            </w:r>
            <w:r>
              <w:rPr>
                <w:webHidden/>
              </w:rPr>
              <w:fldChar w:fldCharType="separate"/>
            </w:r>
            <w:r>
              <w:rPr>
                <w:rStyle w:val="Style18"/>
                <w:vanish w:val="false"/>
              </w:rPr>
              <w:tab/>
              <w:t>26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1">
            <w:r>
              <w:rPr>
                <w:webHidden/>
                <w:rStyle w:val="Style18"/>
                <w:vanish w:val="false"/>
              </w:rPr>
              <w:t>3.</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Требования к Участникам</w:t>
            </w:r>
            <w:r>
              <w:rPr>
                <w:webHidden/>
              </w:rPr>
              <w:fldChar w:fldCharType="begin"/>
            </w:r>
            <w:r>
              <w:rPr>
                <w:webHidden/>
              </w:rPr>
              <w:instrText xml:space="preserve">PAGEREF _Toc186224281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2">
            <w:r>
              <w:rPr>
                <w:webHidden/>
                <w:rStyle w:val="Style18"/>
                <w:vanish w:val="false"/>
              </w:rPr>
              <w:t>3.1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требования к Участникам</w:t>
            </w:r>
            <w:r>
              <w:rPr>
                <w:webHidden/>
              </w:rPr>
              <w:fldChar w:fldCharType="begin"/>
            </w:r>
            <w:r>
              <w:rPr>
                <w:webHidden/>
              </w:rPr>
              <w:instrText xml:space="preserve">PAGEREF _Toc186224282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3">
            <w:r>
              <w:rPr>
                <w:webHidden/>
                <w:rStyle w:val="Style18"/>
                <w:vanish w:val="false"/>
              </w:rPr>
              <w:t>3.2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Коллективные участники</w:t>
            </w:r>
            <w:r>
              <w:rPr>
                <w:webHidden/>
              </w:rPr>
              <w:fldChar w:fldCharType="begin"/>
            </w:r>
            <w:r>
              <w:rPr>
                <w:webHidden/>
              </w:rPr>
              <w:instrText xml:space="preserve">PAGEREF _Toc186224283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4">
            <w:r>
              <w:rPr>
                <w:webHidden/>
                <w:rStyle w:val="Style18"/>
                <w:vanish w:val="false"/>
              </w:rPr>
              <w:t>3.3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Генеральные подрядчики</w:t>
            </w:r>
            <w:r>
              <w:rPr>
                <w:webHidden/>
              </w:rPr>
              <w:fldChar w:fldCharType="begin"/>
            </w:r>
            <w:r>
              <w:rPr>
                <w:webHidden/>
              </w:rPr>
              <w:instrText xml:space="preserve">PAGEREF _Toc186224284 \h</w:instrText>
            </w:r>
            <w:r>
              <w:rPr>
                <w:webHidden/>
              </w:rPr>
              <w:fldChar w:fldCharType="separate"/>
            </w:r>
            <w:r>
              <w:rPr>
                <w:rStyle w:val="Style18"/>
                <w:vanish w:val="false"/>
              </w:rPr>
              <w:tab/>
              <w:t>29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5">
            <w:r>
              <w:rPr>
                <w:webHidden/>
                <w:rStyle w:val="Style18"/>
                <w:vanish w:val="false"/>
              </w:rPr>
              <w:t>4.</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Порядок проведения закупки</w:t>
            </w:r>
            <w:r>
              <w:rPr>
                <w:webHidden/>
              </w:rPr>
              <w:fldChar w:fldCharType="begin"/>
            </w:r>
            <w:r>
              <w:rPr>
                <w:webHidden/>
              </w:rPr>
              <w:instrText xml:space="preserve">PAGEREF _Toc186224285 \h</w:instrText>
            </w:r>
            <w:r>
              <w:rPr>
                <w:webHidden/>
              </w:rPr>
              <w:fldChar w:fldCharType="separate"/>
            </w:r>
            <w:r>
              <w:rPr>
                <w:rStyle w:val="Style18"/>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6">
            <w:r>
              <w:rPr>
                <w:webHidden/>
                <w:rStyle w:val="Style18"/>
                <w:vanish w:val="false"/>
              </w:rPr>
              <w:t>4.1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Общий порядок проведения закупки</w:t>
            </w:r>
            <w:r>
              <w:rPr>
                <w:webHidden/>
              </w:rPr>
              <w:fldChar w:fldCharType="begin"/>
            </w:r>
            <w:r>
              <w:rPr>
                <w:webHidden/>
              </w:rPr>
              <w:instrText xml:space="preserve">PAGEREF _Toc186224286 \h</w:instrText>
            </w:r>
            <w:r>
              <w:rPr>
                <w:webHidden/>
              </w:rPr>
              <w:fldChar w:fldCharType="separate"/>
            </w:r>
            <w:r>
              <w:rPr>
                <w:rStyle w:val="Style18"/>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7">
            <w:r>
              <w:rPr>
                <w:webHidden/>
                <w:rStyle w:val="Style18"/>
                <w:vanish w:val="false"/>
              </w:rPr>
              <w:t>4.2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Официальное размещение Извещения и Документации о закупке</w:t>
            </w:r>
            <w:r>
              <w:rPr>
                <w:webHidden/>
              </w:rPr>
              <w:fldChar w:fldCharType="begin"/>
            </w:r>
            <w:r>
              <w:rPr>
                <w:webHidden/>
              </w:rPr>
              <w:instrText xml:space="preserve">PAGEREF _Toc186224287 \h</w:instrText>
            </w:r>
            <w:r>
              <w:rPr>
                <w:webHidden/>
              </w:rPr>
              <w:fldChar w:fldCharType="separate"/>
            </w:r>
            <w:r>
              <w:rPr>
                <w:rStyle w:val="Style18"/>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8">
            <w:r>
              <w:rPr>
                <w:webHidden/>
                <w:rStyle w:val="Style18"/>
                <w:vanish w:val="false"/>
              </w:rPr>
              <w:t>4.3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Подготовка заявки</w:t>
            </w:r>
            <w:r>
              <w:rPr>
                <w:webHidden/>
              </w:rPr>
              <w:fldChar w:fldCharType="begin"/>
            </w:r>
            <w:r>
              <w:rPr>
                <w:webHidden/>
              </w:rPr>
              <w:instrText xml:space="preserve">PAGEREF _Toc186224288 \h</w:instrText>
            </w:r>
            <w:r>
              <w:rPr>
                <w:webHidden/>
              </w:rPr>
              <w:fldChar w:fldCharType="separate"/>
            </w:r>
            <w:r>
              <w:rPr>
                <w:rStyle w:val="Style18"/>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9">
            <w:r>
              <w:rPr>
                <w:webHidden/>
                <w:rStyle w:val="Style18"/>
                <w:vanish w:val="false"/>
              </w:rPr>
              <w:t>4.4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Разъяснение Документации о закупке</w:t>
            </w:r>
            <w:r>
              <w:rPr>
                <w:webHidden/>
              </w:rPr>
              <w:fldChar w:fldCharType="begin"/>
            </w:r>
            <w:r>
              <w:rPr>
                <w:webHidden/>
              </w:rPr>
              <w:instrText xml:space="preserve">PAGEREF _Toc186224289 \h</w:instrText>
            </w:r>
            <w:r>
              <w:rPr>
                <w:webHidden/>
              </w:rPr>
              <w:fldChar w:fldCharType="separate"/>
            </w:r>
            <w:r>
              <w:rPr>
                <w:rStyle w:val="Style18"/>
                <w:vanish w:val="false"/>
              </w:rPr>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0">
            <w:r>
              <w:rPr>
                <w:webHidden/>
                <w:rStyle w:val="Style18"/>
                <w:vanish w:val="false"/>
              </w:rPr>
              <w:t>4.5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Изменения Извещения и (или) Документации о закупке</w:t>
            </w:r>
            <w:r>
              <w:rPr>
                <w:webHidden/>
              </w:rPr>
              <w:fldChar w:fldCharType="begin"/>
            </w:r>
            <w:r>
              <w:rPr>
                <w:webHidden/>
              </w:rPr>
              <w:instrText xml:space="preserve">PAGEREF _Toc186224290 \h</w:instrText>
            </w:r>
            <w:r>
              <w:rPr>
                <w:webHidden/>
              </w:rPr>
              <w:fldChar w:fldCharType="separate"/>
            </w:r>
            <w:r>
              <w:rPr>
                <w:rStyle w:val="Style18"/>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1">
            <w:r>
              <w:rPr>
                <w:webHidden/>
                <w:rStyle w:val="Style18"/>
                <w:vanish w:val="false"/>
              </w:rPr>
              <w:t>4.6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Подача заявок и их прием</w:t>
            </w:r>
            <w:r>
              <w:rPr>
                <w:webHidden/>
              </w:rPr>
              <w:fldChar w:fldCharType="begin"/>
            </w:r>
            <w:r>
              <w:rPr>
                <w:webHidden/>
              </w:rPr>
              <w:instrText xml:space="preserve">PAGEREF _Toc186224291 \h</w:instrText>
            </w:r>
            <w:r>
              <w:rPr>
                <w:webHidden/>
              </w:rPr>
              <w:fldChar w:fldCharType="separate"/>
            </w:r>
            <w:r>
              <w:rPr>
                <w:rStyle w:val="Style18"/>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2">
            <w:r>
              <w:rPr>
                <w:webHidden/>
                <w:rStyle w:val="Style18"/>
                <w:vanish w:val="false"/>
              </w:rPr>
              <w:t>4.7</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Изменение и отзыв заявок</w:t>
            </w:r>
            <w:r>
              <w:rPr>
                <w:webHidden/>
              </w:rPr>
              <w:fldChar w:fldCharType="begin"/>
            </w:r>
            <w:r>
              <w:rPr>
                <w:webHidden/>
              </w:rPr>
              <w:instrText xml:space="preserve">PAGEREF _Toc186224292 \h</w:instrText>
            </w:r>
            <w:r>
              <w:rPr>
                <w:webHidden/>
              </w:rPr>
              <w:fldChar w:fldCharType="separate"/>
            </w:r>
            <w:r>
              <w:rPr>
                <w:rStyle w:val="Style18"/>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3">
            <w:r>
              <w:rPr>
                <w:webHidden/>
                <w:rStyle w:val="Style18"/>
                <w:vanish w:val="false"/>
              </w:rPr>
              <w:t>4.8</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Открытие доступа к заявкам</w:t>
            </w:r>
            <w:r>
              <w:rPr>
                <w:webHidden/>
              </w:rPr>
              <w:fldChar w:fldCharType="begin"/>
            </w:r>
            <w:r>
              <w:rPr>
                <w:webHidden/>
              </w:rPr>
              <w:instrText xml:space="preserve">PAGEREF _Toc186224293 \h</w:instrText>
            </w:r>
            <w:r>
              <w:rPr>
                <w:webHidden/>
              </w:rPr>
              <w:fldChar w:fldCharType="separate"/>
            </w:r>
            <w:r>
              <w:rPr>
                <w:rStyle w:val="Style18"/>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4">
            <w:r>
              <w:rPr>
                <w:webHidden/>
                <w:rStyle w:val="Style18"/>
                <w:vanish w:val="false"/>
              </w:rPr>
              <w:t>4.9</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Рассмотрение заявок (отборочная стадия), в том числе (при необходимости) проведение аккредитации</w:t>
            </w:r>
            <w:r>
              <w:rPr>
                <w:webHidden/>
              </w:rPr>
              <w:fldChar w:fldCharType="begin"/>
            </w:r>
            <w:r>
              <w:rPr>
                <w:webHidden/>
              </w:rPr>
              <w:instrText xml:space="preserve">PAGEREF _Toc186224294 \h</w:instrText>
            </w:r>
            <w:r>
              <w:rPr>
                <w:webHidden/>
              </w:rPr>
              <w:fldChar w:fldCharType="separate"/>
            </w:r>
            <w:r>
              <w:rPr>
                <w:rStyle w:val="Style18"/>
                <w:vanish w:val="false"/>
              </w:rPr>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5">
            <w:r>
              <w:rPr>
                <w:webHidden/>
                <w:rStyle w:val="Style18"/>
                <w:vanish w:val="false"/>
              </w:rPr>
              <w:t>4.10</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запросы разъяснений заявок</w:t>
            </w:r>
            <w:r>
              <w:rPr>
                <w:webHidden/>
              </w:rPr>
              <w:fldChar w:fldCharType="begin"/>
            </w:r>
            <w:r>
              <w:rPr>
                <w:webHidden/>
              </w:rPr>
              <w:instrText xml:space="preserve">PAGEREF _Toc186224295 \h</w:instrText>
            </w:r>
            <w:r>
              <w:rPr>
                <w:webHidden/>
              </w:rPr>
              <w:fldChar w:fldCharType="separate"/>
            </w:r>
            <w:r>
              <w:rPr>
                <w:rStyle w:val="Style18"/>
                <w:vanish w:val="false"/>
              </w:rPr>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6">
            <w:r>
              <w:rPr>
                <w:webHidden/>
                <w:rStyle w:val="Style18"/>
                <w:vanish w:val="false"/>
              </w:rPr>
              <w:t>4.11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Переторжка</w:t>
            </w:r>
            <w:r>
              <w:rPr>
                <w:webHidden/>
              </w:rPr>
              <w:fldChar w:fldCharType="begin"/>
            </w:r>
            <w:r>
              <w:rPr>
                <w:webHidden/>
              </w:rPr>
              <w:instrText xml:space="preserve">PAGEREF _Toc186224296 \h</w:instrText>
            </w:r>
            <w:r>
              <w:rPr>
                <w:webHidden/>
              </w:rPr>
              <w:fldChar w:fldCharType="separate"/>
            </w:r>
            <w:r>
              <w:rPr>
                <w:rStyle w:val="Style18"/>
                <w:vanish w:val="false"/>
              </w:rPr>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7">
            <w:r>
              <w:rPr>
                <w:webHidden/>
                <w:rStyle w:val="Style18"/>
                <w:vanish w:val="false"/>
              </w:rPr>
              <w:t>4.12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Оценка и сопоставление заявок</w:t>
            </w:r>
            <w:r>
              <w:rPr>
                <w:webHidden/>
              </w:rPr>
              <w:fldChar w:fldCharType="begin"/>
            </w:r>
            <w:r>
              <w:rPr>
                <w:webHidden/>
              </w:rPr>
              <w:instrText xml:space="preserve">PAGEREF _Toc186224297 \h</w:instrText>
            </w:r>
            <w:r>
              <w:rPr>
                <w:webHidden/>
              </w:rPr>
              <w:fldChar w:fldCharType="separate"/>
            </w:r>
            <w:r>
              <w:rPr>
                <w:rStyle w:val="Style18"/>
                <w:vanish w:val="false"/>
              </w:rPr>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8">
            <w:r>
              <w:rPr>
                <w:webHidden/>
                <w:rStyle w:val="Style18"/>
                <w:vanish w:val="false"/>
              </w:rPr>
              <w:t>4.13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Применение законодательства о национальном режиме</w:t>
            </w:r>
            <w:r>
              <w:rPr>
                <w:webHidden/>
              </w:rPr>
              <w:fldChar w:fldCharType="begin"/>
            </w:r>
            <w:r>
              <w:rPr>
                <w:webHidden/>
              </w:rPr>
              <w:instrText xml:space="preserve">PAGEREF _Toc186224298 \h</w:instrText>
            </w:r>
            <w:r>
              <w:rPr>
                <w:webHidden/>
              </w:rPr>
              <w:fldChar w:fldCharType="separate"/>
            </w:r>
            <w:r>
              <w:rPr>
                <w:rStyle w:val="Style18"/>
                <w:vanish w:val="false"/>
              </w:rPr>
              <w:tab/>
              <w:t>46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9">
            <w:r>
              <w:rPr>
                <w:webHidden/>
                <w:rStyle w:val="Style18"/>
                <w:vanish w:val="false"/>
              </w:rPr>
              <w:t>4.14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Подведение итогов закупки (определение Победителя)</w:t>
            </w:r>
            <w:r>
              <w:rPr>
                <w:webHidden/>
              </w:rPr>
              <w:fldChar w:fldCharType="begin"/>
            </w:r>
            <w:r>
              <w:rPr>
                <w:webHidden/>
              </w:rPr>
              <w:instrText xml:space="preserve">PAGEREF _Toc186224299 \h</w:instrText>
            </w:r>
            <w:r>
              <w:rPr>
                <w:webHidden/>
              </w:rPr>
              <w:fldChar w:fldCharType="separate"/>
            </w:r>
            <w:r>
              <w:rPr>
                <w:rStyle w:val="Style18"/>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0">
            <w:r>
              <w:rPr>
                <w:webHidden/>
                <w:rStyle w:val="Style18"/>
                <w:vanish w:val="false"/>
              </w:rPr>
              <w:t>4.15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Признание закупки несостоявшейся</w:t>
            </w:r>
            <w:r>
              <w:rPr>
                <w:webHidden/>
              </w:rPr>
              <w:fldChar w:fldCharType="begin"/>
            </w:r>
            <w:r>
              <w:rPr>
                <w:webHidden/>
              </w:rPr>
              <w:instrText xml:space="preserve">PAGEREF _Toc186224300 \h</w:instrText>
            </w:r>
            <w:r>
              <w:rPr>
                <w:webHidden/>
              </w:rPr>
              <w:fldChar w:fldCharType="separate"/>
            </w:r>
            <w:r>
              <w:rPr>
                <w:rStyle w:val="Style18"/>
                <w:vanish w:val="false"/>
              </w:rPr>
              <w:tab/>
              <w:t>48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1">
            <w:r>
              <w:rPr>
                <w:webHidden/>
                <w:rStyle w:val="Style18"/>
                <w:vanish w:val="false"/>
              </w:rPr>
              <w:t>4.16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Отказ от проведения закупки (отмена закупки)</w:t>
            </w:r>
            <w:r>
              <w:rPr>
                <w:webHidden/>
              </w:rPr>
              <w:fldChar w:fldCharType="begin"/>
            </w:r>
            <w:r>
              <w:rPr>
                <w:webHidden/>
              </w:rPr>
              <w:instrText xml:space="preserve">PAGEREF _Toc186224301 \h</w:instrText>
            </w:r>
            <w:r>
              <w:rPr>
                <w:webHidden/>
              </w:rPr>
              <w:fldChar w:fldCharType="separate"/>
            </w:r>
            <w:r>
              <w:rPr>
                <w:rStyle w:val="Style18"/>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2">
            <w:r>
              <w:rPr>
                <w:webHidden/>
                <w:rStyle w:val="Style18"/>
                <w:vanish w:val="false"/>
              </w:rPr>
              <w:t>4.17</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необходимостью обеспечения заявки</w:t>
            </w:r>
            <w:r>
              <w:rPr>
                <w:webHidden/>
              </w:rPr>
              <w:fldChar w:fldCharType="begin"/>
            </w:r>
            <w:r>
              <w:rPr>
                <w:webHidden/>
              </w:rPr>
              <w:instrText xml:space="preserve">PAGEREF _Toc186224302 \h</w:instrText>
            </w:r>
            <w:r>
              <w:rPr>
                <w:webHidden/>
              </w:rPr>
              <w:fldChar w:fldCharType="separate"/>
            </w:r>
            <w:r>
              <w:rPr>
                <w:rStyle w:val="Style18"/>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3">
            <w:r>
              <w:rPr>
                <w:webHidden/>
                <w:rStyle w:val="Style18"/>
                <w:vanish w:val="false"/>
              </w:rPr>
              <w:t>4.18</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многолотовой закупки</w:t>
            </w:r>
            <w:r>
              <w:rPr>
                <w:webHidden/>
              </w:rPr>
              <w:fldChar w:fldCharType="begin"/>
            </w:r>
            <w:r>
              <w:rPr>
                <w:webHidden/>
              </w:rPr>
              <w:instrText xml:space="preserve">PAGEREF _Toc186224303 \h</w:instrText>
            </w:r>
            <w:r>
              <w:rPr>
                <w:webHidden/>
              </w:rPr>
              <w:fldChar w:fldCharType="separate"/>
            </w:r>
            <w:r>
              <w:rPr>
                <w:rStyle w:val="Style18"/>
                <w:vanish w:val="false"/>
              </w:rPr>
              <w:tab/>
              <w:t>52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4">
            <w:r>
              <w:rPr>
                <w:webHidden/>
                <w:rStyle w:val="Style18"/>
                <w:vanish w:val="false"/>
              </w:rPr>
              <w:t>4.19</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возможностью подачи альтернативных предложений</w:t>
            </w:r>
            <w:r>
              <w:rPr>
                <w:webHidden/>
              </w:rPr>
              <w:fldChar w:fldCharType="begin"/>
            </w:r>
            <w:r>
              <w:rPr>
                <w:webHidden/>
              </w:rPr>
              <w:instrText xml:space="preserve">PAGEREF _Toc186224304 \h</w:instrText>
            </w:r>
            <w:r>
              <w:rPr>
                <w:webHidden/>
              </w:rPr>
              <w:fldChar w:fldCharType="separate"/>
            </w:r>
            <w:r>
              <w:rPr>
                <w:rStyle w:val="Style18"/>
                <w:vanish w:val="false"/>
              </w:rPr>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5">
            <w:r>
              <w:rPr>
                <w:webHidden/>
                <w:rStyle w:val="Style18"/>
                <w:vanish w:val="false"/>
              </w:rPr>
              <w:t>4.20</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выбором нескольких победителей</w:t>
            </w:r>
            <w:r>
              <w:rPr>
                <w:webHidden/>
              </w:rPr>
              <w:fldChar w:fldCharType="begin"/>
            </w:r>
            <w:r>
              <w:rPr>
                <w:webHidden/>
              </w:rPr>
              <w:instrText xml:space="preserve">PAGEREF _Toc186224305 \h</w:instrText>
            </w:r>
            <w:r>
              <w:rPr>
                <w:webHidden/>
              </w:rPr>
              <w:fldChar w:fldCharType="separate"/>
            </w:r>
            <w:r>
              <w:rPr>
                <w:rStyle w:val="Style18"/>
                <w:vanish w:val="false"/>
              </w:rPr>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06">
            <w:r>
              <w:rPr>
                <w:webHidden/>
                <w:rStyle w:val="Style18"/>
                <w:vanish w:val="false"/>
              </w:rPr>
              <w:t>5.</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Порядок заключения Договора</w:t>
            </w:r>
            <w:r>
              <w:rPr>
                <w:webHidden/>
              </w:rPr>
              <w:fldChar w:fldCharType="begin"/>
            </w:r>
            <w:r>
              <w:rPr>
                <w:webHidden/>
              </w:rPr>
              <w:instrText xml:space="preserve">PAGEREF _Toc186224306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7">
            <w:r>
              <w:rPr>
                <w:webHidden/>
                <w:rStyle w:val="Style18"/>
                <w:vanish w:val="false"/>
              </w:rPr>
              <w:t>5.1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положения</w:t>
            </w:r>
            <w:r>
              <w:rPr>
                <w:webHidden/>
              </w:rPr>
              <w:fldChar w:fldCharType="begin"/>
            </w:r>
            <w:r>
              <w:rPr>
                <w:webHidden/>
              </w:rPr>
              <w:instrText xml:space="preserve">PAGEREF _Toc186224307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8">
            <w:r>
              <w:rPr>
                <w:webHidden/>
                <w:rStyle w:val="Style18"/>
                <w:vanish w:val="false"/>
              </w:rPr>
              <w:t>5.2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Заключение Договора</w:t>
            </w:r>
            <w:r>
              <w:rPr>
                <w:webHidden/>
              </w:rPr>
              <w:fldChar w:fldCharType="begin"/>
            </w:r>
            <w:r>
              <w:rPr>
                <w:webHidden/>
              </w:rPr>
              <w:instrText xml:space="preserve">PAGEREF _Toc186224308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9">
            <w:r>
              <w:rPr>
                <w:webHidden/>
                <w:rStyle w:val="Style18"/>
                <w:vanish w:val="false"/>
              </w:rPr>
              <w:t>5.3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Преддоговорные переговоры</w:t>
            </w:r>
            <w:r>
              <w:rPr>
                <w:webHidden/>
              </w:rPr>
              <w:fldChar w:fldCharType="begin"/>
            </w:r>
            <w:r>
              <w:rPr>
                <w:webHidden/>
              </w:rPr>
              <w:instrText xml:space="preserve">PAGEREF _Toc186224309 \h</w:instrText>
            </w:r>
            <w:r>
              <w:rPr>
                <w:webHidden/>
              </w:rPr>
              <w:fldChar w:fldCharType="separate"/>
            </w:r>
            <w:r>
              <w:rPr>
                <w:rStyle w:val="Style18"/>
                <w:vanish w:val="false"/>
              </w:rPr>
              <w:tab/>
              <w:t>57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0">
            <w:r>
              <w:rPr>
                <w:webHidden/>
                <w:rStyle w:val="Style18"/>
                <w:vanish w:val="false"/>
              </w:rPr>
              <w:t>5.4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Уклонение Победителя от заключения Договора</w:t>
            </w:r>
            <w:r>
              <w:rPr>
                <w:webHidden/>
              </w:rPr>
              <w:fldChar w:fldCharType="begin"/>
            </w:r>
            <w:r>
              <w:rPr>
                <w:webHidden/>
              </w:rPr>
              <w:instrText xml:space="preserve">PAGEREF _Toc186224310 \h</w:instrText>
            </w:r>
            <w:r>
              <w:rPr>
                <w:webHidden/>
              </w:rPr>
              <w:fldChar w:fldCharType="separate"/>
            </w:r>
            <w:r>
              <w:rPr>
                <w:rStyle w:val="Style18"/>
                <w:vanish w:val="false"/>
              </w:rPr>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1">
            <w:r>
              <w:rPr>
                <w:webHidden/>
                <w:rStyle w:val="Style18"/>
                <w:vanish w:val="false"/>
              </w:rPr>
              <w:t>6.</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1 – Технические требования</w:t>
            </w:r>
            <w:r>
              <w:rPr>
                <w:webHidden/>
              </w:rPr>
              <w:fldChar w:fldCharType="begin"/>
            </w:r>
            <w:r>
              <w:rPr>
                <w:webHidden/>
              </w:rPr>
              <w:instrText xml:space="preserve">PAGEREF _Toc186224311 \h</w:instrText>
            </w:r>
            <w:r>
              <w:rPr>
                <w:webHidden/>
              </w:rPr>
              <w:fldChar w:fldCharType="separate"/>
            </w:r>
            <w:r>
              <w:rPr>
                <w:rStyle w:val="Style18"/>
                <w:vanish w:val="false"/>
              </w:rPr>
              <w:tab/>
              <w:t>60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2">
            <w:r>
              <w:rPr>
                <w:webHidden/>
                <w:rStyle w:val="Style18"/>
                <w:vanish w:val="false"/>
              </w:rPr>
              <w:t>6.1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Техническим требованиям</w:t>
            </w:r>
            <w:r>
              <w:rPr>
                <w:webHidden/>
              </w:rPr>
              <w:fldChar w:fldCharType="begin"/>
            </w:r>
            <w:r>
              <w:rPr>
                <w:webHidden/>
              </w:rPr>
              <w:instrText xml:space="preserve">PAGEREF _Toc186224312 \h</w:instrText>
            </w:r>
            <w:r>
              <w:rPr>
                <w:webHidden/>
              </w:rPr>
              <w:fldChar w:fldCharType="separate"/>
            </w:r>
            <w:r>
              <w:rPr>
                <w:rStyle w:val="Style18"/>
                <w:vanish w:val="false"/>
              </w:rPr>
              <w:tab/>
              <w:t>60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3">
            <w:r>
              <w:rPr>
                <w:webHidden/>
                <w:rStyle w:val="Style18"/>
                <w:vanish w:val="false"/>
              </w:rPr>
              <w:t>7.</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2 – Проект договора</w:t>
            </w:r>
            <w:r>
              <w:rPr>
                <w:webHidden/>
              </w:rPr>
              <w:fldChar w:fldCharType="begin"/>
            </w:r>
            <w:r>
              <w:rPr>
                <w:webHidden/>
              </w:rPr>
              <w:instrText xml:space="preserve">PAGEREF _Toc186224313 \h</w:instrText>
            </w:r>
            <w:r>
              <w:rPr>
                <w:webHidden/>
              </w:rPr>
              <w:fldChar w:fldCharType="separate"/>
            </w:r>
            <w:r>
              <w:rPr>
                <w:rStyle w:val="Style18"/>
                <w:vanish w:val="false"/>
              </w:rPr>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4">
            <w:r>
              <w:rPr>
                <w:webHidden/>
                <w:rStyle w:val="Style18"/>
                <w:vanish w:val="false"/>
              </w:rPr>
              <w:t>7.1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Проекту договора</w:t>
            </w:r>
            <w:r>
              <w:rPr>
                <w:webHidden/>
              </w:rPr>
              <w:fldChar w:fldCharType="begin"/>
            </w:r>
            <w:r>
              <w:rPr>
                <w:webHidden/>
              </w:rPr>
              <w:instrText xml:space="preserve">PAGEREF _Toc186224314 \h</w:instrText>
            </w:r>
            <w:r>
              <w:rPr>
                <w:webHidden/>
              </w:rPr>
              <w:fldChar w:fldCharType="separate"/>
            </w:r>
            <w:r>
              <w:rPr>
                <w:rStyle w:val="Style18"/>
                <w:vanish w:val="false"/>
              </w:rPr>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5">
            <w:r>
              <w:rPr>
                <w:webHidden/>
                <w:rStyle w:val="Style18"/>
                <w:vanish w:val="false"/>
              </w:rPr>
              <w:t>8.</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3 – Требования к Участникам</w:t>
            </w:r>
            <w:r>
              <w:rPr>
                <w:webHidden/>
              </w:rPr>
              <w:fldChar w:fldCharType="begin"/>
            </w:r>
            <w:r>
              <w:rPr>
                <w:webHidden/>
              </w:rPr>
              <w:instrText xml:space="preserve">PAGEREF _Toc186224315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6">
            <w:r>
              <w:rPr>
                <w:webHidden/>
                <w:rStyle w:val="Style18"/>
                <w:vanish w:val="false"/>
              </w:rPr>
              <w:t>8.1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требованиям к Участникам</w:t>
            </w:r>
            <w:r>
              <w:rPr>
                <w:webHidden/>
              </w:rPr>
              <w:fldChar w:fldCharType="begin"/>
            </w:r>
            <w:r>
              <w:rPr>
                <w:webHidden/>
              </w:rPr>
              <w:instrText xml:space="preserve">PAGEREF _Toc186224316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7">
            <w:r>
              <w:rPr>
                <w:webHidden/>
                <w:rStyle w:val="Style18"/>
                <w:vanish w:val="false"/>
              </w:rPr>
              <w:t>8.2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Обязательные требования</w:t>
            </w:r>
            <w:r>
              <w:rPr>
                <w:webHidden/>
              </w:rPr>
              <w:fldChar w:fldCharType="begin"/>
            </w:r>
            <w:r>
              <w:rPr>
                <w:webHidden/>
              </w:rPr>
              <w:instrText xml:space="preserve">PAGEREF _Toc186224317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8">
            <w:r>
              <w:rPr>
                <w:webHidden/>
                <w:rStyle w:val="Style18"/>
                <w:vanish w:val="false"/>
              </w:rPr>
              <w:t>8.3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Специальные требования</w:t>
            </w:r>
            <w:r>
              <w:rPr>
                <w:webHidden/>
              </w:rPr>
              <w:fldChar w:fldCharType="begin"/>
            </w:r>
            <w:r>
              <w:rPr>
                <w:webHidden/>
              </w:rPr>
              <w:instrText xml:space="preserve">PAGEREF _Toc186224318 \h</w:instrText>
            </w:r>
            <w:r>
              <w:rPr>
                <w:webHidden/>
              </w:rPr>
              <w:fldChar w:fldCharType="separate"/>
            </w:r>
            <w:r>
              <w:rPr>
                <w:rStyle w:val="Style18"/>
                <w:vanish w:val="false"/>
              </w:rPr>
              <w:tab/>
              <w:t>66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9">
            <w:r>
              <w:rPr>
                <w:webHidden/>
                <w:rStyle w:val="Style18"/>
                <w:vanish w:val="false"/>
              </w:rPr>
              <w:t>8.4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Квалификационные требования</w:t>
            </w:r>
            <w:r>
              <w:rPr>
                <w:webHidden/>
              </w:rPr>
              <w:fldChar w:fldCharType="begin"/>
            </w:r>
            <w:r>
              <w:rPr>
                <w:webHidden/>
              </w:rPr>
              <w:instrText xml:space="preserve">PAGEREF _Toc186224319 \h</w:instrText>
            </w:r>
            <w:r>
              <w:rPr>
                <w:webHidden/>
              </w:rPr>
              <w:fldChar w:fldCharType="separate"/>
            </w:r>
            <w:r>
              <w:rPr>
                <w:rStyle w:val="Style18"/>
                <w:vanish w:val="false"/>
              </w:rPr>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0">
            <w:r>
              <w:rPr>
                <w:webHidden/>
                <w:rStyle w:val="Style18"/>
                <w:vanish w:val="false"/>
              </w:rPr>
              <w:t>8.5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требования к Коллективным участникам</w:t>
            </w:r>
            <w:r>
              <w:rPr>
                <w:webHidden/>
              </w:rPr>
              <w:fldChar w:fldCharType="begin"/>
            </w:r>
            <w:r>
              <w:rPr>
                <w:webHidden/>
              </w:rPr>
              <w:instrText xml:space="preserve">PAGEREF _Toc186224320 \h</w:instrText>
            </w:r>
            <w:r>
              <w:rPr>
                <w:webHidden/>
              </w:rPr>
              <w:fldChar w:fldCharType="separate"/>
            </w:r>
            <w:r>
              <w:rPr>
                <w:rStyle w:val="Style18"/>
                <w:vanish w:val="false"/>
              </w:rPr>
              <w:tab/>
              <w:t>68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1">
            <w:r>
              <w:rPr>
                <w:webHidden/>
                <w:rStyle w:val="Style18"/>
                <w:vanish w:val="false"/>
              </w:rPr>
              <w:t>8.6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требования к Генеральным подрядчикам</w:t>
            </w:r>
            <w:r>
              <w:rPr>
                <w:webHidden/>
              </w:rPr>
              <w:fldChar w:fldCharType="begin"/>
            </w:r>
            <w:r>
              <w:rPr>
                <w:webHidden/>
              </w:rPr>
              <w:instrText xml:space="preserve">PAGEREF _Toc186224321 \h</w:instrText>
            </w:r>
            <w:r>
              <w:rPr>
                <w:webHidden/>
              </w:rPr>
              <w:fldChar w:fldCharType="separate"/>
            </w:r>
            <w:r>
              <w:rPr>
                <w:rStyle w:val="Style18"/>
                <w:vanish w:val="false"/>
              </w:rPr>
              <w:tab/>
              <w:t>68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2">
            <w:r>
              <w:rPr>
                <w:webHidden/>
                <w:rStyle w:val="Style18"/>
                <w:vanish w:val="false"/>
              </w:rPr>
              <w:t>9.</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4 – Образцы форм документов, включаемых в состав заявки</w:t>
            </w:r>
            <w:r>
              <w:rPr>
                <w:webHidden/>
              </w:rPr>
              <w:fldChar w:fldCharType="begin"/>
            </w:r>
            <w:r>
              <w:rPr>
                <w:webHidden/>
              </w:rPr>
              <w:instrText xml:space="preserve">PAGEREF _Toc186224322 \h</w:instrText>
            </w:r>
            <w:r>
              <w:rPr>
                <w:webHidden/>
              </w:rPr>
              <w:fldChar w:fldCharType="separate"/>
            </w:r>
            <w:r>
              <w:rPr>
                <w:rStyle w:val="Style18"/>
                <w:vanish w:val="false"/>
              </w:rPr>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3">
            <w:r>
              <w:rPr>
                <w:webHidden/>
                <w:rStyle w:val="Style18"/>
                <w:vanish w:val="false"/>
              </w:rPr>
              <w:t>9.1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Образцам форм документов, включаемых в состав заявки</w:t>
            </w:r>
            <w:r>
              <w:rPr>
                <w:webHidden/>
              </w:rPr>
              <w:fldChar w:fldCharType="begin"/>
            </w:r>
            <w:r>
              <w:rPr>
                <w:webHidden/>
              </w:rPr>
              <w:instrText xml:space="preserve">PAGEREF _Toc186224323 \h</w:instrText>
            </w:r>
            <w:r>
              <w:rPr>
                <w:webHidden/>
              </w:rPr>
              <w:fldChar w:fldCharType="separate"/>
            </w:r>
            <w:r>
              <w:rPr>
                <w:rStyle w:val="Style18"/>
                <w:vanish w:val="false"/>
              </w:rPr>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4">
            <w:r>
              <w:rPr>
                <w:webHidden/>
                <w:rStyle w:val="Style18"/>
                <w:vanish w:val="false"/>
              </w:rPr>
              <w:t>10.</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5 – Образцы форм документов, предоставляемых Победителем</w:t>
            </w:r>
            <w:r>
              <w:rPr>
                <w:webHidden/>
              </w:rPr>
              <w:fldChar w:fldCharType="begin"/>
            </w:r>
            <w:r>
              <w:rPr>
                <w:webHidden/>
              </w:rPr>
              <w:instrText xml:space="preserve">PAGEREF _Toc186224324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5">
            <w:r>
              <w:rPr>
                <w:webHidden/>
                <w:rStyle w:val="Style18"/>
                <w:vanish w:val="false"/>
              </w:rPr>
              <w:t>10.1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Образцам форм документов, предоставляемых Победителем</w:t>
            </w:r>
            <w:r>
              <w:rPr>
                <w:webHidden/>
              </w:rPr>
              <w:fldChar w:fldCharType="begin"/>
            </w:r>
            <w:r>
              <w:rPr>
                <w:webHidden/>
              </w:rPr>
              <w:instrText xml:space="preserve">PAGEREF _Toc186224325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6">
            <w:r>
              <w:rPr>
                <w:webHidden/>
                <w:rStyle w:val="Style18"/>
                <w:vanish w:val="false"/>
              </w:rPr>
              <w:t>10.2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Форма справки «Сведения о цепочке собственников, включая бенефициаров (в том числе конечных)»</w:t>
            </w:r>
            <w:r>
              <w:rPr>
                <w:webHidden/>
              </w:rPr>
              <w:fldChar w:fldCharType="begin"/>
            </w:r>
            <w:r>
              <w:rPr>
                <w:webHidden/>
              </w:rPr>
              <w:instrText xml:space="preserve">PAGEREF _Toc186224326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7">
            <w:r>
              <w:rPr>
                <w:webHidden/>
                <w:rStyle w:val="Style18"/>
                <w:vanish w:val="false"/>
              </w:rPr>
              <w:t>10.3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Форма «Заверение об обстоятельствах»</w:t>
            </w:r>
            <w:r>
              <w:rPr>
                <w:webHidden/>
              </w:rPr>
              <w:fldChar w:fldCharType="begin"/>
            </w:r>
            <w:r>
              <w:rPr>
                <w:webHidden/>
              </w:rPr>
              <w:instrText xml:space="preserve">PAGEREF _Toc186224327 \h</w:instrText>
            </w:r>
            <w:r>
              <w:rPr>
                <w:webHidden/>
              </w:rPr>
              <w:fldChar w:fldCharType="separate"/>
            </w:r>
            <w:r>
              <w:rPr>
                <w:rStyle w:val="Style18"/>
                <w:vanish w:val="false"/>
              </w:rPr>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8">
            <w:r>
              <w:rPr>
                <w:webHidden/>
                <w:rStyle w:val="Style18"/>
                <w:vanish w:val="false"/>
              </w:rPr>
              <w:t>11.</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6 – Состав заявки</w:t>
            </w:r>
            <w:r>
              <w:rPr>
                <w:webHidden/>
              </w:rPr>
              <w:fldChar w:fldCharType="begin"/>
            </w:r>
            <w:r>
              <w:rPr>
                <w:webHidden/>
              </w:rPr>
              <w:instrText xml:space="preserve">PAGEREF _Toc186224328 \h</w:instrText>
            </w:r>
            <w:r>
              <w:rPr>
                <w:webHidden/>
              </w:rPr>
              <w:fldChar w:fldCharType="separate"/>
            </w:r>
            <w:r>
              <w:rPr>
                <w:rStyle w:val="Style18"/>
                <w:vanish w:val="false"/>
              </w:rPr>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9">
            <w:r>
              <w:rPr>
                <w:webHidden/>
                <w:rStyle w:val="Style18"/>
                <w:vanish w:val="false"/>
              </w:rPr>
              <w:t>11.1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Состав заявки</w:t>
            </w:r>
            <w:r>
              <w:rPr>
                <w:webHidden/>
              </w:rPr>
              <w:fldChar w:fldCharType="begin"/>
            </w:r>
            <w:r>
              <w:rPr>
                <w:webHidden/>
              </w:rPr>
              <w:instrText xml:space="preserve">PAGEREF _Toc186224329 \h</w:instrText>
            </w:r>
            <w:r>
              <w:rPr>
                <w:webHidden/>
              </w:rPr>
              <w:fldChar w:fldCharType="separate"/>
            </w:r>
            <w:r>
              <w:rPr>
                <w:rStyle w:val="Style18"/>
                <w:vanish w:val="false"/>
              </w:rPr>
              <w:tab/>
              <w:t>74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0">
            <w:r>
              <w:rPr>
                <w:webHidden/>
                <w:rStyle w:val="Style18"/>
                <w:vanish w:val="false"/>
              </w:rPr>
              <w:t>12.</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7 – Отборочные критерии рассмотрения заявок</w:t>
            </w:r>
            <w:r>
              <w:rPr>
                <w:webHidden/>
              </w:rPr>
              <w:fldChar w:fldCharType="begin"/>
            </w:r>
            <w:r>
              <w:rPr>
                <w:webHidden/>
              </w:rPr>
              <w:instrText xml:space="preserve">PAGEREF _Toc186224330 \h</w:instrText>
            </w:r>
            <w:r>
              <w:rPr>
                <w:webHidden/>
              </w:rPr>
              <w:fldChar w:fldCharType="separate"/>
            </w:r>
            <w:r>
              <w:rPr>
                <w:rStyle w:val="Style18"/>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1">
            <w:r>
              <w:rPr>
                <w:webHidden/>
                <w:rStyle w:val="Style18"/>
                <w:vanish w:val="false"/>
              </w:rPr>
              <w:t>12.1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Отборочные критерии рассмотрения заявок</w:t>
            </w:r>
            <w:r>
              <w:rPr>
                <w:webHidden/>
              </w:rPr>
              <w:fldChar w:fldCharType="begin"/>
            </w:r>
            <w:r>
              <w:rPr>
                <w:webHidden/>
              </w:rPr>
              <w:instrText xml:space="preserve">PAGEREF _Toc186224331 \h</w:instrText>
            </w:r>
            <w:r>
              <w:rPr>
                <w:webHidden/>
              </w:rPr>
              <w:fldChar w:fldCharType="separate"/>
            </w:r>
            <w:r>
              <w:rPr>
                <w:rStyle w:val="Style18"/>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2">
            <w:r>
              <w:rPr>
                <w:webHidden/>
                <w:rStyle w:val="Style18"/>
                <w:vanish w:val="false"/>
              </w:rPr>
              <w:t>12.2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критерии проверки заявок на соответствие условиям Документации о закупке</w:t>
            </w:r>
            <w:r>
              <w:rPr>
                <w:webHidden/>
              </w:rPr>
              <w:fldChar w:fldCharType="begin"/>
            </w:r>
            <w:r>
              <w:rPr>
                <w:webHidden/>
              </w:rPr>
              <w:instrText xml:space="preserve">PAGEREF _Toc186224332 \h</w:instrText>
            </w:r>
            <w:r>
              <w:rPr>
                <w:webHidden/>
              </w:rPr>
              <w:fldChar w:fldCharType="separate"/>
            </w:r>
            <w:r>
              <w:rPr>
                <w:rStyle w:val="Style18"/>
                <w:vanish w:val="false"/>
              </w:rPr>
              <w:tab/>
              <w:t>82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3">
            <w:r>
              <w:rPr>
                <w:webHidden/>
                <w:rStyle w:val="Style18"/>
                <w:vanish w:val="false"/>
              </w:rPr>
              <w:t>13.</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8 – Порядок и критерии оценки и сопоставления заявок</w:t>
            </w:r>
            <w:r>
              <w:rPr>
                <w:webHidden/>
              </w:rPr>
              <w:fldChar w:fldCharType="begin"/>
            </w:r>
            <w:r>
              <w:rPr>
                <w:webHidden/>
              </w:rPr>
              <w:instrText xml:space="preserve">PAGEREF _Toc186224333 \h</w:instrText>
            </w:r>
            <w:r>
              <w:rPr>
                <w:webHidden/>
              </w:rPr>
              <w:fldChar w:fldCharType="separate"/>
            </w:r>
            <w:r>
              <w:rPr>
                <w:rStyle w:val="Style18"/>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4">
            <w:r>
              <w:rPr>
                <w:webHidden/>
                <w:rStyle w:val="Style18"/>
                <w:vanish w:val="false"/>
              </w:rPr>
              <w:t>13.1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Порядок и критерии оценки и сопоставления заявок</w:t>
            </w:r>
            <w:r>
              <w:rPr>
                <w:webHidden/>
              </w:rPr>
              <w:fldChar w:fldCharType="begin"/>
            </w:r>
            <w:r>
              <w:rPr>
                <w:webHidden/>
              </w:rPr>
              <w:instrText xml:space="preserve">PAGEREF _Toc186224334 \h</w:instrText>
            </w:r>
            <w:r>
              <w:rPr>
                <w:webHidden/>
              </w:rPr>
              <w:fldChar w:fldCharType="separate"/>
            </w:r>
            <w:r>
              <w:rPr>
                <w:rStyle w:val="Style18"/>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5">
            <w:r>
              <w:rPr>
                <w:webHidden/>
                <w:rStyle w:val="Style18"/>
                <w:vanish w:val="false"/>
              </w:rPr>
              <w:t>13.2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Порядок и критерии оценки и сопоставления заявок</w:t>
            </w:r>
            <w:r>
              <w:rPr>
                <w:webHidden/>
              </w:rPr>
              <w:fldChar w:fldCharType="begin"/>
            </w:r>
            <w:r>
              <w:rPr>
                <w:webHidden/>
              </w:rPr>
              <w:instrText xml:space="preserve">PAGEREF _Toc186224335 \h</w:instrText>
            </w:r>
            <w:r>
              <w:rPr>
                <w:webHidden/>
              </w:rPr>
              <w:fldChar w:fldCharType="separate"/>
            </w:r>
            <w:r>
              <w:rPr>
                <w:rStyle w:val="Style18"/>
                <w:vanish w:val="false"/>
              </w:rPr>
              <w:tab/>
              <w:t>88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6">
            <w:r>
              <w:rPr>
                <w:webHidden/>
                <w:rStyle w:val="Style18"/>
                <w:vanish w:val="false"/>
              </w:rPr>
              <w:t>14.</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9 – Обоснование НМЦ</w:t>
            </w:r>
            <w:r>
              <w:rPr>
                <w:webHidden/>
              </w:rPr>
              <w:fldChar w:fldCharType="begin"/>
            </w:r>
            <w:r>
              <w:rPr>
                <w:webHidden/>
              </w:rPr>
              <w:instrText xml:space="preserve">PAGEREF _Toc186224336 \h</w:instrText>
            </w:r>
            <w:r>
              <w:rPr>
                <w:webHidden/>
              </w:rPr>
              <w:fldChar w:fldCharType="separate"/>
            </w:r>
            <w:r>
              <w:rPr>
                <w:rStyle w:val="Style18"/>
                <w:vanish w:val="false"/>
              </w:rPr>
              <w:tab/>
              <w:t>90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7">
            <w:r>
              <w:rPr>
                <w:webHidden/>
                <w:rStyle w:val="Style18"/>
                <w:vanish w:val="false"/>
              </w:rPr>
              <w:t>14.1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Обоснованию НМЦ</w:t>
            </w:r>
            <w:r>
              <w:rPr>
                <w:webHidden/>
              </w:rPr>
              <w:fldChar w:fldCharType="begin"/>
            </w:r>
            <w:r>
              <w:rPr>
                <w:webHidden/>
              </w:rPr>
              <w:instrText xml:space="preserve">PAGEREF _Toc186224337 \h</w:instrText>
            </w:r>
            <w:r>
              <w:rPr>
                <w:webHidden/>
              </w:rPr>
              <w:fldChar w:fldCharType="separate"/>
            </w:r>
            <w:r>
              <w:rPr>
                <w:rStyle w:val="Style18"/>
                <w:vanish w:val="false"/>
              </w:rPr>
              <w:tab/>
              <w:t>90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8">
            <w:r>
              <w:rPr>
                <w:webHidden/>
                <w:rStyle w:val="Style18"/>
                <w:vanish w:val="false"/>
              </w:rPr>
              <w:t>15.</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10 – Форма Заявки на аккредитацию</w:t>
            </w:r>
            <w:r>
              <w:rPr>
                <w:webHidden/>
              </w:rPr>
              <w:fldChar w:fldCharType="begin"/>
            </w:r>
            <w:r>
              <w:rPr>
                <w:webHidden/>
              </w:rPr>
              <w:instrText xml:space="preserve">PAGEREF _Toc186224338 \h</w:instrText>
            </w:r>
            <w:r>
              <w:rPr>
                <w:webHidden/>
              </w:rPr>
              <w:fldChar w:fldCharType="separate"/>
            </w:r>
            <w:r>
              <w:rPr>
                <w:rStyle w:val="Style18"/>
                <w:vanish w:val="false"/>
              </w:rPr>
              <w:tab/>
              <w:t>91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9">
            <w:r>
              <w:rPr>
                <w:webHidden/>
                <w:rStyle w:val="Style18"/>
                <w:vanish w:val="false"/>
              </w:rPr>
              <w:t>15.1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форме Заявки на аккредитацию</w:t>
            </w:r>
            <w:r>
              <w:rPr>
                <w:webHidden/>
              </w:rPr>
              <w:fldChar w:fldCharType="begin"/>
            </w:r>
            <w:r>
              <w:rPr>
                <w:webHidden/>
              </w:rPr>
              <w:instrText xml:space="preserve">PAGEREF _Toc186224339 \h</w:instrText>
            </w:r>
            <w:r>
              <w:rPr>
                <w:webHidden/>
              </w:rPr>
              <w:fldChar w:fldCharType="separate"/>
            </w:r>
            <w:r>
              <w:rPr>
                <w:rStyle w:val="Style18"/>
                <w:vanish w:val="false"/>
              </w:rPr>
              <w:tab/>
              <w:t>91</w:t>
            </w:r>
            <w:r>
              <w:rPr>
                <w:webHidden/>
              </w:rPr>
              <w:fldChar w:fldCharType="end"/>
            </w:r>
          </w:hyperlink>
          <w:r>
            <w:rPr>
              <w:rStyle w:val="Style18"/>
              <w:vanish w:val="false"/>
            </w:rPr>
            <w:fldChar w:fldCharType="end"/>
          </w:r>
        </w:p>
      </w:sdtContent>
    </w:sdt>
    <w:p>
      <w:pPr>
        <w:pStyle w:val="Style28"/>
        <w:jc w:val="both"/>
        <w:rPr/>
      </w:pPr>
      <w:r>
        <w:rPr/>
      </w:r>
    </w:p>
    <w:p>
      <w:pPr>
        <w:pStyle w:val="Style28"/>
        <w:keepNext w:val="true"/>
        <w:spacing w:before="60" w:after="0"/>
        <w:rPr>
          <w:rStyle w:val="Style16"/>
        </w:rPr>
      </w:pPr>
      <w:r>
        <w:rPr>
          <w:rStyle w:val="Style16"/>
        </w:rPr>
        <w:t xml:space="preserve">[Примечание (дополнительные удобства работы с Документацией о закупке; Microsoft Word | </w:t>
      </w:r>
      <w:r>
        <w:rPr>
          <w:rStyle w:val="Style16"/>
          <w:color w:val="4472C4" w:themeColor="accent1"/>
        </w:rPr>
        <w:t>AlterOffice AText – отмечены отличая для данного текстового редактора</w:t>
      </w:r>
      <w:r>
        <w:rPr>
          <w:rStyle w:val="Style16"/>
        </w:rPr>
        <w:t>):</w:t>
      </w:r>
    </w:p>
    <w:p>
      <w:pPr>
        <w:pStyle w:val="Style28"/>
        <w:numPr>
          <w:ilvl w:val="0"/>
          <w:numId w:val="11"/>
        </w:numPr>
        <w:spacing w:before="60" w:after="0"/>
        <w:ind w:left="284" w:hanging="284"/>
        <w:rPr>
          <w:rStyle w:val="Style16"/>
        </w:rPr>
      </w:pPr>
      <w:r>
        <w:rPr>
          <w:rStyle w:val="Style16"/>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Style16"/>
          <w:color w:val="4472C4" w:themeColor="accent1"/>
        </w:rPr>
        <w:t>включается на вкладке «Вид» опцией «Навигатор»</w:t>
      </w:r>
      <w:r>
        <w:rPr>
          <w:rStyle w:val="Style16"/>
        </w:rPr>
        <w:t>;</w:t>
      </w:r>
    </w:p>
    <w:p>
      <w:pPr>
        <w:pStyle w:val="Style28"/>
        <w:numPr>
          <w:ilvl w:val="0"/>
          <w:numId w:val="11"/>
        </w:numPr>
        <w:spacing w:before="60" w:after="0"/>
        <w:ind w:left="284" w:hanging="284"/>
        <w:rPr>
          <w:rStyle w:val="Style16"/>
        </w:rPr>
      </w:pPr>
      <w:r>
        <w:rPr>
          <w:rStyle w:val="Style16"/>
        </w:rPr>
        <w:t>переход по перекрестным и другим ссылкам осуществляется левым кликом мыши с</w:t>
      </w:r>
      <w:r>
        <w:rPr>
          <w:rStyle w:val="Style16"/>
          <w:lang w:val="en-US"/>
        </w:rPr>
        <w:t> </w:t>
      </w:r>
      <w:r>
        <w:rPr>
          <w:rStyle w:val="Style16"/>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Style16"/>
          <w:color w:val="4472C4" w:themeColor="accent1"/>
        </w:rPr>
        <w:t>(обратный переход функционально не реализован в AlterOffice AText, пользуйтесь функциональностью «Навигатор»)</w:t>
      </w:r>
      <w:r>
        <w:rPr>
          <w:rStyle w:val="Style16"/>
        </w:rPr>
        <w:t>;</w:t>
      </w:r>
    </w:p>
    <w:p>
      <w:pPr>
        <w:pStyle w:val="Style28"/>
        <w:numPr>
          <w:ilvl w:val="0"/>
          <w:numId w:val="11"/>
        </w:numPr>
        <w:spacing w:before="60" w:after="0"/>
        <w:ind w:left="284" w:hanging="284"/>
        <w:rPr>
          <w:rStyle w:val="Style16"/>
        </w:rPr>
      </w:pPr>
      <w:r>
        <w:rPr>
          <w:rStyle w:val="Style16"/>
        </w:rPr>
        <w:t>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Style16"/>
          <w:lang w:val="en-US"/>
        </w:rPr>
        <w:t> </w:t>
      </w:r>
      <w:r>
        <w:rPr>
          <w:rStyle w:val="Style16"/>
        </w:rPr>
        <w:t>тексте;</w:t>
      </w:r>
    </w:p>
    <w:p>
      <w:pPr>
        <w:pStyle w:val="Style28"/>
        <w:numPr>
          <w:ilvl w:val="0"/>
          <w:numId w:val="11"/>
        </w:numPr>
        <w:spacing w:before="60" w:after="0"/>
        <w:ind w:left="284" w:hanging="284"/>
        <w:rPr>
          <w:rStyle w:val="Style16"/>
        </w:rPr>
      </w:pPr>
      <w:r>
        <w:rPr>
          <w:rStyle w:val="Style16"/>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Style16"/>
        </w:rPr>
        <w:t>.]</w:t>
      </w:r>
    </w:p>
    <w:p>
      <w:pPr>
        <w:pStyle w:val="Style27"/>
        <w:numPr>
          <w:ilvl w:val="0"/>
          <w:numId w:val="0"/>
        </w:numPr>
        <w:ind w:left="0" w:hanging="0"/>
        <w:outlineLvl w:val="0"/>
        <w:rPr/>
      </w:pPr>
      <w:bookmarkStart w:id="0" w:name="_Toc186224270"/>
      <w:r>
        <w:rPr/>
        <w:t>Сокращения</w:t>
      </w:r>
      <w:bookmarkEnd w:id="0"/>
    </w:p>
    <w:p>
      <w:pPr>
        <w:pStyle w:val="Style28"/>
        <w:ind w:firstLine="567"/>
        <w:rPr/>
      </w:pPr>
      <w:r>
        <w:rPr>
          <w:b/>
          <w:bCs/>
        </w:rPr>
        <w:t>ГК РФ</w:t>
      </w:r>
      <w:r>
        <w:rPr/>
        <w:t xml:space="preserve"> – Гражданской кодекс Российской Федерации.</w:t>
      </w:r>
    </w:p>
    <w:p>
      <w:pPr>
        <w:pStyle w:val="Style28"/>
        <w:ind w:firstLine="567"/>
        <w:rPr/>
      </w:pPr>
      <w:r>
        <w:rPr>
          <w:b/>
          <w:bCs/>
        </w:rPr>
        <w:t>ЕГРИП</w:t>
      </w:r>
      <w:r>
        <w:rPr/>
        <w:t xml:space="preserve"> – Единый государственный реестр индивидуальных предпринимателей.</w:t>
      </w:r>
    </w:p>
    <w:p>
      <w:pPr>
        <w:pStyle w:val="Style28"/>
        <w:ind w:firstLine="567"/>
        <w:rPr/>
      </w:pPr>
      <w:r>
        <w:rPr>
          <w:b/>
          <w:bCs/>
        </w:rPr>
        <w:t>ЕГРЮЛ</w:t>
      </w:r>
      <w:r>
        <w:rPr/>
        <w:t xml:space="preserve"> – Единый государственный реестр юридических лиц.</w:t>
      </w:r>
    </w:p>
    <w:p>
      <w:pPr>
        <w:pStyle w:val="Style28"/>
        <w:ind w:firstLine="567"/>
        <w:rPr/>
      </w:pPr>
      <w:r>
        <w:rPr>
          <w:b/>
          <w:bCs/>
        </w:rPr>
        <w:t>ЕИС</w:t>
      </w:r>
      <w:r>
        <w:rPr/>
        <w:t xml:space="preserve"> – Единая информационная система в сфере закупок.</w:t>
      </w:r>
    </w:p>
    <w:p>
      <w:pPr>
        <w:pStyle w:val="Style28"/>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28"/>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8"/>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8"/>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8"/>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8"/>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8"/>
        <w:ind w:firstLine="567"/>
        <w:rPr/>
      </w:pPr>
      <w:r>
        <w:rPr>
          <w:b/>
          <w:bCs/>
        </w:rPr>
        <w:t>Извещение</w:t>
      </w:r>
      <w:r>
        <w:rPr/>
        <w:t xml:space="preserve"> – извещение о проведении настоящей закупки.</w:t>
      </w:r>
    </w:p>
    <w:p>
      <w:pPr>
        <w:pStyle w:val="Style28"/>
        <w:ind w:firstLine="567"/>
        <w:rPr/>
      </w:pPr>
      <w:r>
        <w:rPr>
          <w:b/>
          <w:bCs/>
        </w:rPr>
        <w:t>ИНН</w:t>
      </w:r>
      <w:r>
        <w:rPr/>
        <w:t xml:space="preserve"> – идентификационный номер налогоплательщика.</w:t>
      </w:r>
    </w:p>
    <w:p>
      <w:pPr>
        <w:pStyle w:val="Style28"/>
        <w:ind w:firstLine="567"/>
        <w:rPr/>
      </w:pPr>
      <w:r>
        <w:rPr>
          <w:b/>
          <w:bCs/>
        </w:rPr>
        <w:t>ИФНС</w:t>
      </w:r>
      <w:r>
        <w:rPr/>
        <w:t xml:space="preserve"> – инспекция Федеральной налоговой службы Российской Федерации.</w:t>
      </w:r>
    </w:p>
    <w:p>
      <w:pPr>
        <w:pStyle w:val="Style28"/>
        <w:ind w:firstLine="567"/>
        <w:rPr/>
      </w:pPr>
      <w:r>
        <w:rPr>
          <w:b/>
          <w:bCs/>
        </w:rPr>
        <w:t>МТР</w:t>
      </w:r>
      <w:r>
        <w:rPr/>
        <w:t xml:space="preserve"> – материально-технические ресурсы.</w:t>
      </w:r>
    </w:p>
    <w:p>
      <w:pPr>
        <w:pStyle w:val="Style28"/>
        <w:ind w:firstLine="567"/>
        <w:rPr/>
      </w:pPr>
      <w:r>
        <w:rPr>
          <w:b/>
          <w:bCs/>
        </w:rPr>
        <w:t>НДС</w:t>
      </w:r>
      <w:r>
        <w:rPr/>
        <w:t xml:space="preserve"> – налог на добавленную стоимость.</w:t>
      </w:r>
    </w:p>
    <w:p>
      <w:pPr>
        <w:pStyle w:val="Style28"/>
        <w:ind w:firstLine="567"/>
        <w:rPr/>
      </w:pPr>
      <w:r>
        <w:rPr>
          <w:b/>
          <w:bCs/>
        </w:rPr>
        <w:t>НМЦ</w:t>
      </w:r>
      <w:r>
        <w:rPr/>
        <w:t xml:space="preserve"> – начальная (максимальная) цена договора.</w:t>
      </w:r>
    </w:p>
    <w:p>
      <w:pPr>
        <w:pStyle w:val="Style28"/>
        <w:ind w:firstLine="567"/>
        <w:rPr/>
      </w:pPr>
      <w:r>
        <w:rPr>
          <w:b/>
          <w:bCs/>
        </w:rPr>
        <w:t>Оператор ЭП</w:t>
      </w:r>
      <w:r>
        <w:rPr/>
        <w:t xml:space="preserve"> – оператор электронной площадки.</w:t>
      </w:r>
    </w:p>
    <w:p>
      <w:pPr>
        <w:pStyle w:val="Style28"/>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8"/>
        <w:ind w:firstLine="567"/>
        <w:rPr/>
      </w:pPr>
      <w:r>
        <w:rPr>
          <w:b/>
          <w:bCs/>
        </w:rPr>
        <w:t>Положение о закупке</w:t>
      </w:r>
      <w:r>
        <w:rPr/>
        <w:t xml:space="preserve"> – Единое Положение о закупке продукции для нужд Группы РусГидро.</w:t>
      </w:r>
    </w:p>
    <w:p>
      <w:pPr>
        <w:pStyle w:val="Style28"/>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8"/>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8"/>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8"/>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8"/>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8"/>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28"/>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8"/>
        <w:ind w:firstLine="567"/>
        <w:rPr/>
      </w:pPr>
      <w:r>
        <w:rPr>
          <w:b/>
          <w:bCs/>
        </w:rPr>
        <w:t>Субъект МСП</w:t>
      </w:r>
      <w:r>
        <w:rPr/>
        <w:t xml:space="preserve"> – субъект малого и среднего предпринимательства.</w:t>
      </w:r>
    </w:p>
    <w:p>
      <w:pPr>
        <w:pStyle w:val="Style28"/>
        <w:ind w:firstLine="567"/>
        <w:rPr/>
      </w:pPr>
      <w:r>
        <w:rPr>
          <w:b/>
          <w:bCs/>
        </w:rPr>
        <w:t>ЭП</w:t>
      </w:r>
      <w:r>
        <w:rPr/>
        <w:t xml:space="preserve"> – электронная площадка.</w:t>
      </w:r>
    </w:p>
    <w:p>
      <w:pPr>
        <w:pStyle w:val="Style27"/>
        <w:numPr>
          <w:ilvl w:val="0"/>
          <w:numId w:val="0"/>
        </w:numPr>
        <w:ind w:left="0" w:hanging="0"/>
        <w:outlineLvl w:val="0"/>
        <w:rPr/>
      </w:pPr>
      <w:bookmarkStart w:id="1" w:name="_Toc186224271"/>
      <w:r>
        <w:rPr/>
        <w:t>Термины и определения</w:t>
      </w:r>
      <w:bookmarkEnd w:id="1"/>
    </w:p>
    <w:p>
      <w:pPr>
        <w:pStyle w:val="Style28"/>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8"/>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28"/>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8"/>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8"/>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8"/>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8"/>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8"/>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8"/>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8"/>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8"/>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8"/>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8"/>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8"/>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28"/>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8"/>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8"/>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8"/>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8"/>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8"/>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28"/>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8"/>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8"/>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28"/>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8"/>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8"/>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8"/>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8"/>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8"/>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8"/>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28"/>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8"/>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2"/>
        <w:rPr/>
      </w:pPr>
      <w:bookmarkStart w:id="2" w:name="_Ref125359988"/>
      <w:bookmarkStart w:id="3" w:name="_Toc186224272"/>
      <w:r>
        <w:rPr/>
        <w:t>Основные сведения о закупке</w:t>
      </w:r>
      <w:bookmarkEnd w:id="2"/>
      <w:bookmarkEnd w:id="3"/>
    </w:p>
    <w:p>
      <w:pPr>
        <w:pStyle w:val="Style23"/>
        <w:rPr/>
      </w:pPr>
      <w:bookmarkStart w:id="4" w:name="_Toc186224273"/>
      <w:r>
        <w:rPr/>
        <w:t>Статус настоящего раздела</w:t>
      </w:r>
      <w:bookmarkEnd w:id="4"/>
    </w:p>
    <w:p>
      <w:pPr>
        <w:pStyle w:val="Style24"/>
        <w:rPr/>
      </w:pPr>
      <w:r>
        <w:rPr/>
        <w:t>В настоящем разделе содержатся основные сведения о предмете, способе и иных ключевых условиях проводимой закупки.</w:t>
      </w:r>
    </w:p>
    <w:p>
      <w:pPr>
        <w:pStyle w:val="Style24"/>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3"/>
          </w:rPr>
          <w:t>Технических требованиях (Приложение № 1)</w:t>
        </w:r>
      </w:hyperlink>
      <w:r>
        <w:rPr>
          <w:rStyle w:val="Style13"/>
        </w:rPr>
        <w:t>,</w:t>
      </w:r>
      <w:r>
        <w:rPr/>
        <w:t xml:space="preserve"> в </w:t>
      </w:r>
      <w:hyperlink w:anchor="Прил02_ПроектДоговора">
        <w:r>
          <w:rPr>
            <w:rStyle w:val="Style13"/>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4"/>
        <w:rPr/>
      </w:pPr>
      <w:bookmarkStart w:id="5"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5"/>
    </w:p>
    <w:p>
      <w:pPr>
        <w:pStyle w:val="Style23"/>
        <w:spacing w:before="360" w:after="120"/>
        <w:rPr/>
      </w:pPr>
      <w:bookmarkStart w:id="6" w:name="_Ref125359973"/>
      <w:bookmarkStart w:id="7" w:name="_Ref127270076"/>
      <w:bookmarkStart w:id="8" w:name="_Toc186224274"/>
      <w:r>
        <w:rPr/>
        <w:t>Информация о проводимой закупке</w:t>
      </w:r>
      <w:bookmarkEnd w:id="6"/>
      <w:bookmarkEnd w:id="7"/>
      <w:bookmarkEnd w:id="8"/>
    </w:p>
    <w:tbl>
      <w:tblPr>
        <w:tblStyle w:val="af5"/>
        <w:tblW w:w="9754"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838"/>
        <w:gridCol w:w="3240"/>
        <w:gridCol w:w="5676"/>
      </w:tblGrid>
      <w:tr>
        <w:trPr>
          <w:cnfStyle w:val="100000000000" w:firstRow="1" w:lastRow="0" w:firstColumn="0" w:lastColumn="0" w:oddVBand="0" w:evenVBand="0" w:oddHBand="0" w:evenHBand="0" w:firstRowFirstColumn="0" w:firstRowLastColumn="0" w:lastRowFirstColumn="0" w:lastRowLastColumn="0"/>
        </w:trPr>
        <w:tc>
          <w:tcPr>
            <w:tcW w:w="838"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4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67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9" w:name="_Ref125360980"/>
            <w:bookmarkStart w:id="10" w:name="_Ref125360980"/>
            <w:bookmarkEnd w:id="10"/>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1" w:name="_Ref125360996"/>
            <w:bookmarkStart w:id="12" w:name="_Ref125360996"/>
            <w:bookmarkEnd w:id="12"/>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Лот </w:t>
            </w:r>
            <w:r>
              <w:rPr>
                <w:rFonts w:eastAsia="Calibri" w:cs=""/>
                <w:i w:val="false"/>
                <w:iCs w:val="false"/>
                <w:kern w:val="0"/>
                <w:sz w:val="26"/>
                <w:szCs w:val="26"/>
                <w:lang w:val="ru-RU" w:eastAsia="en-US" w:bidi="ar-SA"/>
              </w:rPr>
              <w:t>16-ТПиР-ОНМ-2026-БурГЭС «</w:t>
            </w:r>
            <w:r>
              <w:rPr>
                <w:rFonts w:eastAsia="Calibri" w:cs=""/>
                <w:i w:val="false"/>
                <w:iCs w:val="false"/>
                <w:color w:val="000000"/>
                <w:kern w:val="0"/>
                <w:sz w:val="26"/>
                <w:szCs w:val="26"/>
                <w:lang w:val="ru-RU" w:eastAsia="en-US" w:bidi="ar-SA"/>
              </w:rPr>
              <w:t>ОКПД2 26.51.66.131 Поставка виброанализатора (1 шт.) для нужд филиала ПАО «РусГидро» - «Бурейская ГЭС</w:t>
            </w:r>
            <w:r>
              <w:rPr>
                <w:rFonts w:eastAsia="Calibri" w:cs=""/>
                <w:i w:val="false"/>
                <w:iCs w:val="false"/>
                <w:kern w:val="0"/>
                <w:sz w:val="26"/>
                <w:szCs w:val="26"/>
                <w:lang w:val="ru-RU" w:eastAsia="en-US" w:bidi="ar-SA"/>
              </w:rPr>
              <w:t>»</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3" w:name="_Ref135729276"/>
            <w:bookmarkStart w:id="14" w:name="_Ref135729276"/>
            <w:bookmarkEnd w:id="14"/>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3"/>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5" w:name="_Ref125367124"/>
            <w:bookmarkStart w:id="16" w:name="_Ref125367124"/>
            <w:bookmarkEnd w:id="16"/>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7" w:name="_Ref125360764"/>
            <w:bookmarkStart w:id="18" w:name="_Ref125360764"/>
            <w:bookmarkEnd w:id="18"/>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Электронная (торговая) площадка: Электронная (торговая) площадка: АО «Российский аукционный дом» https://tender.lot-online.ru</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9" w:name="_Ref125360970"/>
            <w:bookmarkStart w:id="20" w:name="_Ref125360970"/>
            <w:bookmarkEnd w:id="20"/>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8"/>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3"/>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1" w:name="_Ref125360988"/>
            <w:bookmarkStart w:id="22" w:name="_Ref125360988"/>
            <w:bookmarkEnd w:id="22"/>
          </w:p>
        </w:tc>
        <w:tc>
          <w:tcPr>
            <w:tcW w:w="3240" w:type="dxa"/>
            <w:tcBorders/>
          </w:tcPr>
          <w:p>
            <w:pPr>
              <w:pStyle w:val="Style28"/>
              <w:widowControl w:val="false"/>
              <w:suppressAutoHyphens w:val="true"/>
              <w:spacing w:before="60" w:after="60"/>
              <w:jc w:val="left"/>
              <w:rPr/>
            </w:pPr>
            <w:r>
              <w:rPr>
                <w:rFonts w:eastAsia="Calibri" w:cs=""/>
                <w:kern w:val="0"/>
                <w:sz w:val="26"/>
                <w:szCs w:val="22"/>
                <w:lang w:val="ru-RU" w:eastAsia="en-US" w:bidi="ar-SA"/>
              </w:rPr>
              <w:t>Заказчик:</w:t>
            </w:r>
          </w:p>
        </w:tc>
        <w:tc>
          <w:tcPr>
            <w:tcW w:w="5676" w:type="dxa"/>
            <w:tcBorders/>
          </w:tcPr>
          <w:p>
            <w:pPr>
              <w:pStyle w:val="Tableheader"/>
              <w:widowControl w:val="false"/>
              <w:suppressAutoHyphens w:val="true"/>
              <w:spacing w:before="120" w:after="60"/>
              <w:jc w:val="left"/>
              <w:rPr/>
            </w:pPr>
            <w:r>
              <w:rPr>
                <w:rFonts w:eastAsia="Calibri" w:cs=""/>
                <w:b w:val="false"/>
                <w:kern w:val="0"/>
                <w:sz w:val="26"/>
                <w:szCs w:val="26"/>
                <w:lang w:val="ru-RU" w:eastAsia="en-US" w:bidi="ar-SA"/>
              </w:rPr>
              <w:t>Наименование (полное и сокращенное): Публичное акционерное общество «Федеральная гидрогенерирующая компания – РусГидро»; ПАО «РусГидро»</w:t>
            </w:r>
          </w:p>
          <w:p>
            <w:pPr>
              <w:pStyle w:val="Normal"/>
              <w:widowControl w:val="false"/>
              <w:spacing w:lineRule="atLeast" w:line="170"/>
              <w:rPr>
                <w:sz w:val="26"/>
                <w:szCs w:val="26"/>
              </w:rPr>
            </w:pPr>
            <w:r>
              <w:rPr>
                <w:rFonts w:cs="Times New Roman"/>
                <w:sz w:val="26"/>
                <w:szCs w:val="26"/>
              </w:rPr>
              <w:t xml:space="preserve">Место нахождения: </w:t>
            </w:r>
            <w:r>
              <w:rPr>
                <w:rFonts w:eastAsia="Times New Roman" w:cs="Times New Roman"/>
                <w:color w:val="auto"/>
                <w:sz w:val="26"/>
                <w:szCs w:val="26"/>
              </w:rPr>
              <w:t xml:space="preserve">660049, Россия, Красноярский край, г.о. город Красноярск, ул. Перенсона, </w:t>
            </w:r>
            <w:r>
              <w:rPr>
                <w:rFonts w:eastAsia="Times New Roman" w:cs="Times New Roman"/>
                <w:b w:val="false"/>
                <w:color w:val="auto"/>
                <w:kern w:val="0"/>
                <w:sz w:val="26"/>
                <w:szCs w:val="26"/>
                <w:lang w:val="ru-RU" w:eastAsia="en-US" w:bidi="ar-SA"/>
              </w:rPr>
              <w:t>зд. 2А, помещ. 1</w:t>
            </w:r>
          </w:p>
          <w:p>
            <w:pPr>
              <w:pStyle w:val="Tableheader"/>
              <w:widowControl w:val="false"/>
              <w:suppressAutoHyphens w:val="true"/>
              <w:spacing w:lineRule="atLeast" w:line="170" w:before="120" w:after="60"/>
              <w:jc w:val="left"/>
              <w:rPr/>
            </w:pPr>
            <w:r>
              <w:rPr>
                <w:rFonts w:eastAsia="Calibri" w:cs=""/>
                <w:b w:val="false"/>
                <w:kern w:val="0"/>
                <w:sz w:val="26"/>
                <w:szCs w:val="26"/>
                <w:lang w:val="ru-RU" w:eastAsia="en-US" w:bidi="ar-SA"/>
              </w:rPr>
              <w:t xml:space="preserve">Почтовый адрес: </w:t>
            </w:r>
            <w:r>
              <w:rPr>
                <w:rFonts w:eastAsia="Times New Roman" w:cs="Times New Roman"/>
                <w:b w:val="false"/>
                <w:color w:val="auto"/>
                <w:kern w:val="0"/>
                <w:sz w:val="26"/>
                <w:szCs w:val="26"/>
                <w:lang w:val="ru-RU" w:eastAsia="en-US" w:bidi="ar-SA"/>
              </w:rPr>
              <w:t xml:space="preserve">60049, Россия, Красноярский край, </w:t>
            </w:r>
            <w:r>
              <w:rPr>
                <w:rFonts w:eastAsia="Times New Roman" w:cs="Times New Roman"/>
                <w:b w:val="false"/>
                <w:bCs w:val="false"/>
                <w:color w:val="auto"/>
                <w:sz w:val="26"/>
                <w:szCs w:val="26"/>
              </w:rPr>
              <w:t xml:space="preserve">г.о. город Красноярск, ул. Перенсона,       </w:t>
            </w:r>
            <w:r>
              <w:rPr>
                <w:rFonts w:eastAsia="Times New Roman" w:cs="Times New Roman"/>
                <w:b w:val="false"/>
                <w:color w:val="auto"/>
                <w:kern w:val="0"/>
                <w:sz w:val="26"/>
                <w:szCs w:val="26"/>
                <w:lang w:val="ru-RU" w:eastAsia="en-US" w:bidi="ar-SA"/>
              </w:rPr>
              <w:t>зд. 2А, помещ. 1</w:t>
            </w:r>
          </w:p>
          <w:p>
            <w:pPr>
              <w:pStyle w:val="Tableheader"/>
              <w:widowControl w:val="false"/>
              <w:suppressAutoHyphens w:val="true"/>
              <w:spacing w:before="120" w:after="60"/>
              <w:jc w:val="left"/>
              <w:rPr/>
            </w:pPr>
            <w:r>
              <w:rPr>
                <w:rFonts w:eastAsia="Calibri" w:cs=""/>
                <w:b w:val="false"/>
                <w:kern w:val="0"/>
                <w:sz w:val="26"/>
                <w:szCs w:val="26"/>
                <w:lang w:val="ru-RU" w:eastAsia="en-US" w:bidi="ar-SA"/>
              </w:rPr>
              <w:t xml:space="preserve">Адрес электронной почты: </w:t>
            </w:r>
            <w:hyperlink r:id="rId3">
              <w:r>
                <w:rPr>
                  <w:rStyle w:val="Hyperlink"/>
                  <w:rFonts w:eastAsia="Calibri" w:cs=""/>
                  <w:b w:val="false"/>
                  <w:kern w:val="0"/>
                  <w:sz w:val="26"/>
                  <w:szCs w:val="26"/>
                  <w:lang w:val="ru-RU" w:eastAsia="en-US" w:bidi="ar-SA"/>
                </w:rPr>
                <w:t>OFFICE@RUSHYDRO.RU</w:t>
              </w:r>
            </w:hyperlink>
            <w:r>
              <w:rPr>
                <w:rFonts w:eastAsia="Calibri" w:cs=""/>
                <w:b w:val="false"/>
                <w:kern w:val="0"/>
                <w:sz w:val="26"/>
                <w:szCs w:val="26"/>
                <w:lang w:val="ru-RU" w:eastAsia="en-US" w:bidi="ar-SA"/>
              </w:rPr>
              <w:t xml:space="preserve"> </w:t>
            </w:r>
          </w:p>
          <w:p>
            <w:pPr>
              <w:pStyle w:val="Normal"/>
              <w:widowControl w:val="false"/>
              <w:tabs>
                <w:tab w:val="clear" w:pos="720"/>
                <w:tab w:val="left" w:pos="426" w:leader="none"/>
              </w:tabs>
              <w:suppressAutoHyphens w:val="true"/>
              <w:spacing w:before="120" w:after="120"/>
              <w:jc w:val="left"/>
              <w:rPr/>
            </w:pPr>
            <w:r>
              <w:rPr>
                <w:rStyle w:val="Style10"/>
                <w:rFonts w:eastAsia="Calibri" w:cs=""/>
                <w:i w:val="false"/>
                <w:iCs w:val="false"/>
                <w:color w:val="000000"/>
                <w:kern w:val="0"/>
                <w:sz w:val="26"/>
                <w:szCs w:val="26"/>
                <w:shd w:fill="FFFFFF" w:val="clear"/>
                <w:lang w:val="ru-RU" w:eastAsia="en-US" w:bidi="ar-SA"/>
              </w:rPr>
              <w:t>Контактный телефон: 8 (495) 225-32-32</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3" w:name="_Ref125360954"/>
            <w:bookmarkStart w:id="24" w:name="_Ref125360954"/>
            <w:bookmarkEnd w:id="24"/>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676" w:type="dxa"/>
            <w:tcBorders/>
          </w:tcPr>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"Бурейская ГЭС"; Филиал ПАО "РусГидро" - "Бурейская ГЭС"</w:t>
            </w:r>
          </w:p>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Место нахождения: 676730, Амурская область, Бурейский район, пос. Талакан</w:t>
            </w:r>
          </w:p>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Почтовый адрес: 676730, Амурская область, Бурейский район, пос. Талакан</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Адрес электронной почты:</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hyperlink r:id="rId4">
              <w:r>
                <w:rPr>
                  <w:rStyle w:val="Hyperlink"/>
                  <w:rFonts w:eastAsia="Calibri" w:cs=""/>
                  <w:kern w:val="0"/>
                  <w:sz w:val="26"/>
                  <w:szCs w:val="22"/>
                  <w:lang w:val="ru-RU" w:eastAsia="en-US" w:bidi="ar-SA"/>
                </w:rPr>
                <w:t>KukushkinaVB@rushydro.ru</w:t>
              </w:r>
            </w:hyperlink>
            <w:r>
              <w:rPr>
                <w:rFonts w:eastAsia="Calibri" w:cs=""/>
                <w:kern w:val="0"/>
                <w:sz w:val="26"/>
                <w:szCs w:val="22"/>
                <w:lang w:val="ru-RU" w:eastAsia="en-US" w:bidi="ar-SA"/>
              </w:rPr>
              <w:t xml:space="preserve"> </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Style w:val="Style10"/>
                <w:rFonts w:eastAsia="Calibri" w:cs=""/>
                <w:b w:val="false"/>
                <w:i w:val="false"/>
                <w:iCs w:val="false"/>
                <w:color w:val="000000"/>
                <w:kern w:val="0"/>
                <w:sz w:val="26"/>
                <w:szCs w:val="22"/>
                <w:shd w:fill="FFFFFF" w:val="clear"/>
                <w:lang w:val="ru-RU" w:eastAsia="en-US" w:bidi="ar-SA"/>
              </w:rPr>
              <w:t xml:space="preserve">Контактный телефон: </w:t>
            </w:r>
            <w:r>
              <w:rPr>
                <w:rStyle w:val="Emphasis"/>
                <w:rFonts w:eastAsia="Calibri" w:cs=""/>
                <w:b w:val="false"/>
                <w:i w:val="false"/>
                <w:iCs w:val="false"/>
                <w:color w:val="000000"/>
                <w:kern w:val="0"/>
                <w:sz w:val="26"/>
                <w:szCs w:val="26"/>
                <w:shd w:fill="FFFFFF" w:val="clear"/>
                <w:lang w:val="ru-RU" w:eastAsia="en-US" w:bidi="ar-SA"/>
              </w:rPr>
              <w:t>8(41634)28333,  доп. 23-86</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 w:name="_Ref125361238"/>
            <w:bookmarkStart w:id="26" w:name="_Ref125361238"/>
            <w:bookmarkEnd w:id="26"/>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676" w:type="dxa"/>
            <w:tcBorders/>
          </w:tcPr>
          <w:p>
            <w:pPr>
              <w:pStyle w:val="Style28"/>
              <w:keepNext w:val="true"/>
              <w:widowControl w:val="false"/>
              <w:suppressAutoHyphens w:val="true"/>
              <w:spacing w:before="60" w:after="60"/>
              <w:rPr/>
            </w:pPr>
            <w:r>
              <w:rPr>
                <w:rFonts w:eastAsia="Calibri" w:cs=""/>
                <w:kern w:val="0"/>
                <w:sz w:val="26"/>
                <w:szCs w:val="22"/>
                <w:lang w:val="ru-RU" w:eastAsia="en-US" w:bidi="ar-SA"/>
              </w:rPr>
              <w:t>Контактное лицо (Ф.И.О.): Кукушкина Виктория Борисовна</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Адрес электронной почты:</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hyperlink r:id="rId5">
              <w:r>
                <w:rPr>
                  <w:rStyle w:val="Hyperlink"/>
                  <w:rFonts w:eastAsia="Calibri" w:cs=""/>
                  <w:kern w:val="0"/>
                  <w:sz w:val="26"/>
                  <w:szCs w:val="22"/>
                  <w:lang w:val="ru-RU" w:eastAsia="en-US" w:bidi="ar-SA"/>
                </w:rPr>
                <w:t>KukushkinaVB@rushydro.ru</w:t>
              </w:r>
            </w:hyperlink>
            <w:r>
              <w:rPr>
                <w:rFonts w:eastAsia="Calibri" w:cs=""/>
                <w:kern w:val="0"/>
                <w:sz w:val="26"/>
                <w:szCs w:val="22"/>
                <w:lang w:val="ru-RU" w:eastAsia="en-US" w:bidi="ar-SA"/>
              </w:rPr>
              <w:t xml:space="preserve"> </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t xml:space="preserve">Контактный телефон: </w:t>
            </w:r>
            <w:r>
              <w:rPr>
                <w:rStyle w:val="Emphasis"/>
                <w:i w:val="false"/>
                <w:iCs w:val="false"/>
                <w:szCs w:val="26"/>
              </w:rPr>
              <w:t>8(41634)28333,  доп. 23-86</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 w:name="_Ref125362694"/>
            <w:bookmarkStart w:id="28" w:name="_Ref125362694"/>
            <w:bookmarkEnd w:id="28"/>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 w:name="_Ref125360963"/>
            <w:bookmarkStart w:id="30" w:name="_Ref125360963"/>
            <w:bookmarkEnd w:id="30"/>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28"/>
              <w:widowControl w:val="false"/>
              <w:suppressAutoHyphens w:val="true"/>
              <w:spacing w:before="60" w:after="60"/>
              <w:rPr>
                <w:rFonts w:eastAsia="Calibri" w:cs="" w:cstheme="minorBidi" w:eastAsiaTheme="minorHAnsi"/>
                <w:highlight w:val="none"/>
                <w:shd w:fill="auto" w:val="clear"/>
              </w:rPr>
            </w:pPr>
            <w:r>
              <w:rPr>
                <w:rFonts w:eastAsia="Calibri" w:cs="" w:cstheme="minorBidi" w:eastAsiaTheme="minorHAnsi"/>
                <w:kern w:val="0"/>
                <w:sz w:val="26"/>
                <w:szCs w:val="22"/>
                <w:shd w:fill="auto" w:val="clear"/>
                <w:lang w:val="ru-RU" w:eastAsia="en-US" w:bidi="ar-SA"/>
              </w:rPr>
              <w:t>«16» июня 2026г.</w:t>
            </w:r>
          </w:p>
          <w:p>
            <w:pPr>
              <w:pStyle w:val="Style28"/>
              <w:widowControl w:val="false"/>
              <w:suppressAutoHyphens w:val="true"/>
              <w:spacing w:before="60" w:after="60"/>
              <w:rPr>
                <w:highlight w:val="none"/>
                <w:shd w:fill="FFFF00" w:val="clear"/>
              </w:rPr>
            </w:pPr>
            <w:r>
              <w:rPr>
                <w:shd w:fill="FFFF00" w:val="clear"/>
              </w:rPr>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 w:name="_Ref125362837"/>
            <w:bookmarkStart w:id="32" w:name="_Ref125362837"/>
            <w:bookmarkEnd w:id="32"/>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 xml:space="preserve">НМЦ составляет </w:t>
            </w:r>
            <w:r>
              <w:rPr>
                <w:rFonts w:eastAsia="Calibri" w:cs=""/>
                <w:i w:val="false"/>
                <w:iCs w:val="false"/>
                <w:kern w:val="0"/>
                <w:sz w:val="26"/>
                <w:szCs w:val="26"/>
                <w:lang w:val="en-US" w:eastAsia="en-US" w:bidi="ar-SA"/>
              </w:rPr>
              <w:t>3 423 647,89</w:t>
            </w:r>
            <w:r>
              <w:rPr>
                <w:rFonts w:eastAsia="Calibri" w:cs=""/>
                <w:i w:val="false"/>
                <w:iCs w:val="false"/>
                <w:kern w:val="0"/>
                <w:sz w:val="26"/>
                <w:szCs w:val="26"/>
                <w:lang w:val="ru-RU" w:eastAsia="en-US" w:bidi="ar-SA"/>
              </w:rPr>
              <w:t xml:space="preserve"> рублей без учета НДС</w:t>
            </w:r>
          </w:p>
          <w:p>
            <w:pPr>
              <w:pStyle w:val="Style28"/>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3"/>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 w:name="_Ref125363076"/>
            <w:bookmarkStart w:id="34" w:name="_Ref125363076"/>
            <w:bookmarkEnd w:id="34"/>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 w:name="_Ref125362995"/>
            <w:bookmarkStart w:id="36" w:name="_Ref125362995"/>
            <w:bookmarkEnd w:id="36"/>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 по установленной форме Технического предложения (форма 4)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Установлен режим ограничения закупки иностранной продукции (когда национальный режим не предоставляется).</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 w:name="_Ref125533737"/>
            <w:bookmarkStart w:id="38" w:name="_Ref125533737"/>
            <w:bookmarkEnd w:id="38"/>
          </w:p>
        </w:tc>
        <w:tc>
          <w:tcPr>
            <w:tcW w:w="3240"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предусмотрена.</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 w:name="_Ref125475086"/>
            <w:bookmarkStart w:id="40" w:name="_Ref125475086"/>
            <w:bookmarkEnd w:id="40"/>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 подачи заявок:</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 w:name="_Ref125360779"/>
            <w:bookmarkStart w:id="42" w:name="_Ref125360779"/>
            <w:bookmarkEnd w:id="42"/>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28"/>
              <w:widowControl w:val="false"/>
              <w:suppressAutoHyphens w:val="true"/>
              <w:spacing w:before="60" w:after="60"/>
              <w:rPr>
                <w:highlight w:val="none"/>
                <w:shd w:fill="auto" w:val="clear"/>
              </w:rPr>
            </w:pPr>
            <w:r>
              <w:rPr>
                <w:rFonts w:eastAsia="Calibri" w:cs="" w:cstheme="minorBidi" w:eastAsiaTheme="minorHAnsi"/>
                <w:kern w:val="0"/>
                <w:sz w:val="26"/>
                <w:szCs w:val="22"/>
                <w:shd w:fill="auto" w:val="clear"/>
                <w:lang w:val="ru-RU" w:eastAsia="en-US" w:bidi="ar-SA"/>
              </w:rPr>
              <w:t>Дата начала подачи заявок:</w:t>
            </w:r>
          </w:p>
          <w:p>
            <w:pPr>
              <w:pStyle w:val="Style28"/>
              <w:widowControl w:val="false"/>
              <w:suppressAutoHyphens w:val="true"/>
              <w:spacing w:before="60" w:after="60"/>
              <w:rPr>
                <w:highlight w:val="none"/>
                <w:shd w:fill="auto" w:val="clear"/>
              </w:rPr>
            </w:pPr>
            <w:r>
              <w:rPr>
                <w:rFonts w:eastAsia="Calibri" w:cs=""/>
                <w:kern w:val="0"/>
                <w:sz w:val="26"/>
                <w:szCs w:val="22"/>
                <w:shd w:fill="auto" w:val="clear"/>
                <w:lang w:val="ru-RU" w:eastAsia="en-US" w:bidi="ar-SA"/>
              </w:rPr>
              <w:t>«16» июня 2026 г.</w:t>
            </w:r>
          </w:p>
          <w:p>
            <w:pPr>
              <w:pStyle w:val="Style28"/>
              <w:widowControl w:val="false"/>
              <w:suppressAutoHyphens w:val="true"/>
              <w:spacing w:before="60" w:after="60"/>
              <w:rPr>
                <w:rFonts w:ascii="Times New Roman" w:hAnsi="Times New Roman" w:eastAsia="Calibri" w:cs=""/>
                <w:kern w:val="0"/>
                <w:sz w:val="26"/>
                <w:szCs w:val="22"/>
                <w:highlight w:val="none"/>
                <w:shd w:fill="auto" w:val="clear"/>
                <w:lang w:val="ru-RU" w:eastAsia="en-US" w:bidi="ar-SA"/>
              </w:rPr>
            </w:pPr>
            <w:r>
              <w:rPr>
                <w:rFonts w:eastAsia="Calibri" w:cs=""/>
                <w:kern w:val="0"/>
                <w:sz w:val="26"/>
                <w:szCs w:val="22"/>
                <w:shd w:fill="auto" w:val="clear"/>
                <w:lang w:val="ru-RU" w:eastAsia="en-US" w:bidi="ar-SA"/>
              </w:rPr>
            </w:r>
          </w:p>
          <w:p>
            <w:pPr>
              <w:pStyle w:val="Style28"/>
              <w:widowControl w:val="false"/>
              <w:suppressAutoHyphens w:val="true"/>
              <w:spacing w:before="60" w:after="60"/>
              <w:rPr>
                <w:highlight w:val="none"/>
                <w:shd w:fill="auto" w:val="clear"/>
              </w:rPr>
            </w:pPr>
            <w:r>
              <w:rPr>
                <w:rFonts w:eastAsia="Calibri" w:cs=""/>
                <w:kern w:val="0"/>
                <w:sz w:val="26"/>
                <w:szCs w:val="22"/>
                <w:shd w:fill="auto" w:val="clear"/>
                <w:lang w:val="ru-RU" w:eastAsia="en-US" w:bidi="ar-SA"/>
              </w:rPr>
              <w:t>Дата и время окончания срока подачи заявок:</w:t>
            </w:r>
          </w:p>
          <w:p>
            <w:pPr>
              <w:pStyle w:val="Style28"/>
              <w:widowControl w:val="false"/>
              <w:suppressAutoHyphens w:val="true"/>
              <w:spacing w:before="60" w:after="60"/>
              <w:rPr>
                <w:highlight w:val="none"/>
                <w:shd w:fill="auto" w:val="clear"/>
              </w:rPr>
            </w:pPr>
            <w:r>
              <w:rPr>
                <w:rFonts w:eastAsia="Calibri" w:cs=""/>
                <w:kern w:val="0"/>
                <w:sz w:val="26"/>
                <w:szCs w:val="22"/>
                <w:shd w:fill="auto" w:val="clear"/>
                <w:lang w:val="ru-RU" w:eastAsia="en-US" w:bidi="ar-SA"/>
              </w:rPr>
              <w:t>«03» июля 2026 г. в 08 ч. 00 мин.</w:t>
            </w:r>
          </w:p>
          <w:p>
            <w:pPr>
              <w:pStyle w:val="Style28"/>
              <w:widowControl w:val="false"/>
              <w:suppressAutoHyphens w:val="true"/>
              <w:spacing w:before="60" w:after="60"/>
              <w:rPr>
                <w:highlight w:val="none"/>
                <w:shd w:fill="auto" w:val="clear"/>
              </w:rPr>
            </w:pPr>
            <w:r>
              <w:rPr>
                <w:rFonts w:eastAsia="Calibri" w:cs=""/>
                <w:kern w:val="0"/>
                <w:sz w:val="26"/>
                <w:szCs w:val="22"/>
                <w:shd w:fill="auto" w:val="clear"/>
                <w:lang w:val="ru-RU" w:eastAsia="en-US" w:bidi="ar-SA"/>
              </w:rPr>
              <w:t>(по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28"/>
              <w:widowControl w:val="false"/>
              <w:suppressAutoHyphens w:val="true"/>
              <w:spacing w:before="60" w:after="60"/>
              <w:rPr>
                <w:rFonts w:eastAsia="Calibri" w:cs="" w:cstheme="minorBidi" w:eastAsiaTheme="minorHAnsi"/>
                <w:highlight w:val="none"/>
                <w:shd w:fill="auto" w:val="clear"/>
              </w:rPr>
            </w:pPr>
            <w:r>
              <w:rPr>
                <w:rFonts w:eastAsia="Calibri" w:cs="" w:cstheme="minorBidi" w:eastAsiaTheme="minorHAnsi"/>
                <w:kern w:val="0"/>
                <w:sz w:val="26"/>
                <w:szCs w:val="22"/>
                <w:shd w:fill="auto" w:val="clear"/>
                <w:lang w:val="ru-RU" w:eastAsia="en-US" w:bidi="ar-SA"/>
              </w:rPr>
              <w:t>«03» июля 2026 г. в 08 ч. 00 мин.</w:t>
            </w:r>
          </w:p>
          <w:p>
            <w:pPr>
              <w:pStyle w:val="Style28"/>
              <w:widowControl w:val="false"/>
              <w:suppressAutoHyphens w:val="true"/>
              <w:spacing w:before="60" w:after="60"/>
              <w:rPr>
                <w:rFonts w:eastAsia="Calibri" w:cs="" w:cstheme="minorBidi" w:eastAsiaTheme="minorHAnsi"/>
                <w:highlight w:val="none"/>
                <w:shd w:fill="auto" w:val="clear"/>
              </w:rPr>
            </w:pPr>
            <w:r>
              <w:rPr>
                <w:rFonts w:eastAsia="Calibri" w:cs="" w:cstheme="minorBidi" w:eastAsiaTheme="minorHAnsi"/>
                <w:kern w:val="0"/>
                <w:sz w:val="26"/>
                <w:szCs w:val="22"/>
                <w:shd w:fill="auto" w:val="clear"/>
                <w:lang w:val="ru-RU" w:eastAsia="en-US" w:bidi="ar-SA"/>
              </w:rPr>
              <w:t>(по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3" w:name="_Ref125476197"/>
            <w:bookmarkStart w:id="44" w:name="_Ref125476197"/>
            <w:bookmarkEnd w:id="44"/>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5" w:name="_Ref125362733"/>
            <w:bookmarkStart w:id="46" w:name="_Ref125362733"/>
            <w:bookmarkEnd w:id="46"/>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28"/>
              <w:widowControl w:val="false"/>
              <w:suppressAutoHyphens w:val="true"/>
              <w:spacing w:before="60" w:after="60"/>
              <w:rPr>
                <w:highlight w:val="none"/>
                <w:shd w:fill="auto" w:val="clear"/>
              </w:rPr>
            </w:pPr>
            <w:r>
              <w:rPr>
                <w:rFonts w:eastAsia="Calibri" w:cs=""/>
                <w:kern w:val="0"/>
                <w:sz w:val="26"/>
                <w:szCs w:val="22"/>
                <w:shd w:fill="auto" w:val="clear"/>
                <w:lang w:val="ru-RU" w:eastAsia="en-US" w:bidi="ar-SA"/>
              </w:rPr>
              <w:t>«16» июля 2026 г.</w:t>
            </w:r>
          </w:p>
          <w:p>
            <w:pPr>
              <w:pStyle w:val="Style28"/>
              <w:widowControl w:val="false"/>
              <w:suppressAutoHyphens w:val="true"/>
              <w:spacing w:before="60" w:after="60"/>
              <w:rPr>
                <w:highlight w:val="none"/>
                <w:shd w:fill="auto" w:val="clear"/>
              </w:rPr>
            </w:pPr>
            <w:r>
              <w:rPr>
                <w:shd w:fill="auto" w:val="clear"/>
              </w:rPr>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7" w:name="_Ref125362757"/>
            <w:bookmarkStart w:id="48" w:name="_Ref125362757"/>
            <w:bookmarkEnd w:id="48"/>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28"/>
              <w:widowControl w:val="false"/>
              <w:suppressAutoHyphens w:val="true"/>
              <w:spacing w:before="60" w:after="60"/>
              <w:rPr>
                <w:highlight w:val="none"/>
                <w:shd w:fill="auto" w:val="clear"/>
              </w:rPr>
            </w:pPr>
            <w:r>
              <w:rPr>
                <w:rFonts w:eastAsia="Calibri" w:cs=""/>
                <w:kern w:val="0"/>
                <w:sz w:val="26"/>
                <w:szCs w:val="22"/>
                <w:shd w:fill="auto" w:val="clear"/>
                <w:lang w:val="ru-RU" w:eastAsia="en-US" w:bidi="ar-SA"/>
              </w:rPr>
              <w:t>«16» июля 2026 г.</w:t>
            </w:r>
          </w:p>
          <w:p>
            <w:pPr>
              <w:pStyle w:val="Style28"/>
              <w:widowControl w:val="false"/>
              <w:suppressAutoHyphens w:val="true"/>
              <w:spacing w:before="60" w:after="60"/>
              <w:rPr>
                <w:highlight w:val="none"/>
                <w:shd w:fill="auto" w:val="clear"/>
              </w:rPr>
            </w:pPr>
            <w:r>
              <w:rPr>
                <w:shd w:fill="auto" w:val="clear"/>
              </w:rPr>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9" w:name="_Ref125361769"/>
            <w:bookmarkStart w:id="50" w:name="_Ref125361769"/>
            <w:bookmarkEnd w:id="50"/>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1" w:name="_Ref125366606"/>
            <w:bookmarkStart w:id="52" w:name="_Ref125366606"/>
            <w:bookmarkEnd w:id="52"/>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3" w:name="_Ref125533374"/>
            <w:bookmarkStart w:id="54" w:name="_Ref125533374"/>
            <w:bookmarkEnd w:id="54"/>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Форма заключения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pPr>
            <w:r>
              <w:rPr>
                <w:rFonts w:eastAsia="Calibri" w:cs=""/>
                <w:kern w:val="0"/>
                <w:sz w:val="26"/>
                <w:szCs w:val="22"/>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w:t>
            </w:r>
            <w:r>
              <w:rPr>
                <w:rFonts w:eastAsia="Calibri" w:cs=""/>
                <w:i w:val="false"/>
                <w:iCs w:val="false"/>
                <w:kern w:val="0"/>
                <w:sz w:val="26"/>
                <w:szCs w:val="22"/>
                <w:lang w:val="ru-RU" w:eastAsia="en-US" w:bidi="ar-SA"/>
              </w:rPr>
              <w:t>Системой ЭДО ПАО «РусГидро» является «Диадок»</w:t>
            </w:r>
            <w:r>
              <w:rPr>
                <w:rFonts w:eastAsia="Calibri" w:cs=""/>
                <w:kern w:val="0"/>
                <w:sz w:val="26"/>
                <w:szCs w:val="22"/>
                <w:lang w:val="ru-RU" w:eastAsia="en-US" w:bidi="ar-SA"/>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5" w:name="_Ref125366813"/>
            <w:bookmarkStart w:id="56" w:name="_Ref125366813"/>
            <w:bookmarkEnd w:id="56"/>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28"/>
              <w:keepNext w:val="true"/>
              <w:widowControl w:val="false"/>
              <w:suppressAutoHyphens w:val="true"/>
              <w:spacing w:before="60" w:after="60"/>
              <w:rPr/>
            </w:pPr>
            <w:r>
              <w:rPr>
                <w:rFonts w:eastAsia="Calibri" w:cs=""/>
                <w:kern w:val="0"/>
                <w:sz w:val="26"/>
                <w:szCs w:val="22"/>
                <w:lang w:val="ru-RU" w:eastAsia="en-US" w:bidi="ar-SA"/>
              </w:rPr>
              <w:t>Контактное лицо (Ф.И.О.):</w:t>
            </w:r>
          </w:p>
          <w:p>
            <w:pPr>
              <w:pStyle w:val="Normal"/>
              <w:widowControl w:val="false"/>
              <w:suppressAutoHyphens w:val="true"/>
              <w:spacing w:lineRule="auto" w:line="240" w:before="60" w:after="60"/>
              <w:ind w:right="-108" w:hanging="0"/>
              <w:jc w:val="left"/>
              <w:rPr>
                <w:i w:val="false"/>
                <w:i w:val="false"/>
                <w:iCs w:val="false"/>
                <w:sz w:val="26"/>
                <w:szCs w:val="26"/>
              </w:rPr>
            </w:pPr>
            <w:r>
              <w:rPr>
                <w:i w:val="false"/>
                <w:iCs w:val="false"/>
                <w:sz w:val="26"/>
                <w:szCs w:val="26"/>
              </w:rPr>
              <w:t>Кравченко Татьяна Николаевна</w:t>
            </w:r>
          </w:p>
          <w:p>
            <w:pPr>
              <w:pStyle w:val="Tableheader"/>
              <w:widowControl w:val="false"/>
              <w:suppressAutoHyphens w:val="true"/>
              <w:spacing w:before="120" w:after="120"/>
              <w:jc w:val="left"/>
              <w:rPr>
                <w:sz w:val="26"/>
                <w:szCs w:val="26"/>
              </w:rPr>
            </w:pPr>
            <w:r>
              <w:rPr>
                <w:rFonts w:eastAsia="Calibri" w:cs=""/>
                <w:b w:val="false"/>
                <w:i w:val="false"/>
                <w:iCs w:val="false"/>
                <w:kern w:val="0"/>
                <w:sz w:val="26"/>
                <w:szCs w:val="26"/>
                <w:lang w:val="ru-RU" w:eastAsia="en-US" w:bidi="ar-SA"/>
              </w:rPr>
              <w:t>Почтовый адрес: 676730, Российская Федерация, Амурская область, Бурейский округ, пгт. Талакан</w:t>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7" w:name="_Ref125368490"/>
            <w:bookmarkStart w:id="58" w:name="_Ref125368490"/>
            <w:bookmarkEnd w:id="58"/>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8"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40"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8"/>
              <w:widowControl w:val="false"/>
              <w:suppressAutoHyphens w:val="true"/>
              <w:spacing w:before="60" w:after="60"/>
              <w:ind w:left="567" w:hanging="0"/>
              <w:rPr>
                <w:rStyle w:val="Style10"/>
                <w:rFonts w:eastAsia="Calibri" w:cs=""/>
                <w:kern w:val="0"/>
                <w:sz w:val="26"/>
                <w:szCs w:val="22"/>
                <w:lang w:val="ru-RU" w:eastAsia="en-US" w:bidi="ar-SA"/>
              </w:rPr>
            </w:pPr>
            <w:r>
              <w:rPr>
                <w:rFonts w:eastAsia="Calibri" w:cs=""/>
                <w:kern w:val="0"/>
                <w:sz w:val="26"/>
                <w:szCs w:val="22"/>
                <w:lang w:val="ru-RU" w:eastAsia="en-US" w:bidi="ar-SA"/>
              </w:rPr>
            </w:r>
          </w:p>
          <w:p>
            <w:pPr>
              <w:pStyle w:val="Style28"/>
              <w:widowControl w:val="false"/>
              <w:suppressAutoHyphens w:val="true"/>
              <w:spacing w:before="60" w:after="60"/>
              <w:rPr/>
            </w:pPr>
            <w:r>
              <w:rPr>
                <w:rFonts w:eastAsia="Calibri" w:cs=""/>
                <w:kern w:val="0"/>
                <w:sz w:val="26"/>
                <w:szCs w:val="22"/>
                <w:lang w:val="ru-RU" w:eastAsia="en-US" w:bidi="ar-SA"/>
              </w:rPr>
              <w:t xml:space="preserve">Иные требования к обеспечению исполнения Договора приведены в </w:t>
            </w:r>
            <w:hyperlink w:anchor="Прил02_ПроектДоговора">
              <w:r>
                <w:rPr>
                  <w:rStyle w:val="Style13"/>
                  <w:rFonts w:eastAsia="Calibri" w:cs=""/>
                  <w:kern w:val="0"/>
                  <w:sz w:val="26"/>
                  <w:szCs w:val="22"/>
                  <w:lang w:val="ru-RU" w:eastAsia="en-US" w:bidi="ar-SA"/>
                </w:rPr>
                <w:t>Приложении № 2</w:t>
              </w:r>
            </w:hyperlink>
            <w:r>
              <w:rPr>
                <w:rFonts w:eastAsia="Calibri" w:cs=""/>
                <w:kern w:val="0"/>
                <w:sz w:val="26"/>
                <w:szCs w:val="22"/>
                <w:lang w:val="ru-RU" w:eastAsia="en-US" w:bidi="ar-SA"/>
              </w:rPr>
              <w:t>.</w:t>
            </w:r>
          </w:p>
        </w:tc>
      </w:tr>
      <w:tr>
        <w:trPr/>
        <w:tc>
          <w:tcPr>
            <w:tcW w:w="9754" w:type="dxa"/>
            <w:gridSpan w:val="3"/>
            <w:tcBorders>
              <w:top w:val="nil"/>
            </w:tcBorders>
          </w:tcPr>
          <w:p>
            <w:pPr>
              <w:pStyle w:val="Normal"/>
              <w:widowControl w:val="false"/>
              <w:suppressAutoHyphens w:val="true"/>
              <w:spacing w:before="120" w:after="120"/>
              <w:jc w:val="center"/>
              <w:rPr/>
            </w:pPr>
            <w:r>
              <w:rPr>
                <w:b/>
              </w:rPr>
              <w:t>Для данной закупки процедура переторжки не предусмотрена!</w:t>
            </w:r>
          </w:p>
        </w:tc>
      </w:tr>
    </w:tbl>
    <w:p>
      <w:pPr>
        <w:pStyle w:val="Style22"/>
        <w:rPr/>
      </w:pPr>
      <w:bookmarkStart w:id="59" w:name="_Ref125360073"/>
      <w:bookmarkStart w:id="60" w:name="_Ref125360337"/>
      <w:bookmarkStart w:id="61" w:name="_Toc186224275"/>
      <w:r>
        <w:rPr/>
        <w:t>Общие положения</w:t>
      </w:r>
      <w:bookmarkEnd w:id="59"/>
      <w:bookmarkEnd w:id="60"/>
      <w:bookmarkEnd w:id="61"/>
    </w:p>
    <w:p>
      <w:pPr>
        <w:pStyle w:val="Style23"/>
        <w:rPr/>
      </w:pPr>
      <w:bookmarkStart w:id="62" w:name="_Toc186224276"/>
      <w:r>
        <w:rPr/>
        <w:t>Общие сведения о закупке</w:t>
      </w:r>
      <w:bookmarkEnd w:id="62"/>
    </w:p>
    <w:p>
      <w:pPr>
        <w:pStyle w:val="Style24"/>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4"/>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4"/>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3"/>
          </w:rPr>
          <w:t>Технических требованиях (Приложение № 1)</w:t>
        </w:r>
      </w:hyperlink>
      <w:r>
        <w:rPr/>
        <w:t xml:space="preserve">. </w:t>
      </w:r>
      <w:hyperlink w:anchor="Прил02_ПроектДоговора">
        <w:r>
          <w:rPr>
            <w:rStyle w:val="Style13"/>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3"/>
          </w:rPr>
          <w:t>Приложении № 2</w:t>
        </w:r>
      </w:hyperlink>
      <w:r>
        <w:rPr/>
        <w:t>.</w:t>
      </w:r>
    </w:p>
    <w:p>
      <w:pPr>
        <w:pStyle w:val="Style24"/>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3"/>
          </w:rPr>
          <w:t>№ 4</w:t>
        </w:r>
      </w:hyperlink>
      <w:r>
        <w:rPr/>
        <w:t xml:space="preserve">, </w:t>
      </w:r>
      <w:hyperlink w:anchor="Прил05_ФормыПобедителя">
        <w:r>
          <w:rPr>
            <w:rStyle w:val="Style13"/>
          </w:rPr>
          <w:t>№ 5</w:t>
        </w:r>
      </w:hyperlink>
      <w:r>
        <w:rPr/>
        <w:t>.</w:t>
      </w:r>
    </w:p>
    <w:p>
      <w:pPr>
        <w:pStyle w:val="Style23"/>
        <w:rPr/>
      </w:pPr>
      <w:bookmarkStart w:id="63" w:name="_Toc186224277"/>
      <w:r>
        <w:rPr/>
        <w:t>Правовой статус документов</w:t>
      </w:r>
      <w:bookmarkEnd w:id="63"/>
    </w:p>
    <w:p>
      <w:pPr>
        <w:pStyle w:val="Style24"/>
        <w:rPr/>
      </w:pPr>
      <w:r>
        <w:rPr/>
        <w:t>Состязательный отбор не является конкурентной процедурой в соответствии с действующим законодательством.</w:t>
      </w:r>
    </w:p>
    <w:p>
      <w:pPr>
        <w:pStyle w:val="Style24"/>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4"/>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4"/>
        <w:keepNext w:val="true"/>
        <w:rPr/>
      </w:pPr>
      <w:bookmarkStart w:id="64"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4"/>
      <w:r>
        <w:rPr/>
        <w:t>.</w:t>
      </w:r>
    </w:p>
    <w:p>
      <w:pPr>
        <w:pStyle w:val="Style24"/>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4"/>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4"/>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4"/>
        <w:rPr/>
      </w:pPr>
      <w:r>
        <w:rPr/>
        <w:t>Иные документы Организатора и Участников не определяют права и обязанности сторон в связи с данной закупкой.</w:t>
      </w:r>
    </w:p>
    <w:p>
      <w:pPr>
        <w:pStyle w:val="Style24"/>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3"/>
        <w:rPr/>
      </w:pPr>
      <w:bookmarkStart w:id="65" w:name="_Ref125363536"/>
      <w:bookmarkStart w:id="66" w:name="_Toc186224278"/>
      <w:r>
        <w:rPr/>
        <w:t>Обжалование</w:t>
      </w:r>
      <w:bookmarkEnd w:id="65"/>
      <w:bookmarkEnd w:id="66"/>
    </w:p>
    <w:p>
      <w:pPr>
        <w:pStyle w:val="Style24"/>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4"/>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4"/>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5"/>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5"/>
        <w:rPr/>
      </w:pPr>
      <w:r>
        <w:rPr/>
        <w:t>признать заявление Участника необоснованным.</w:t>
      </w:r>
    </w:p>
    <w:p>
      <w:pPr>
        <w:pStyle w:val="Style24"/>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4"/>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5"/>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5"/>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8"/>
        <w:ind w:left="1134" w:hanging="0"/>
        <w:rPr/>
      </w:pPr>
      <w:r>
        <w:rPr/>
        <w:t>Закупочная комиссия определяется в соответствии с Положением о закупке.</w:t>
      </w:r>
    </w:p>
    <w:p>
      <w:pPr>
        <w:pStyle w:val="Style23"/>
        <w:rPr/>
      </w:pPr>
      <w:bookmarkStart w:id="67" w:name="_Ref125472658"/>
      <w:bookmarkStart w:id="68" w:name="_Toc186224279"/>
      <w:r>
        <w:rPr/>
        <w:t>Особые положения при проведении закупки с использованием ЭП</w:t>
      </w:r>
      <w:bookmarkEnd w:id="67"/>
      <w:bookmarkEnd w:id="68"/>
    </w:p>
    <w:p>
      <w:pPr>
        <w:pStyle w:val="Style24"/>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4"/>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4"/>
        <w:rPr/>
      </w:pPr>
      <w:bookmarkStart w:id="6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69"/>
    </w:p>
    <w:p>
      <w:pPr>
        <w:pStyle w:val="Style24"/>
        <w:rPr/>
      </w:pPr>
      <w:bookmarkStart w:id="7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0"/>
    </w:p>
    <w:p>
      <w:pPr>
        <w:pStyle w:val="Style23"/>
        <w:rPr/>
      </w:pPr>
      <w:bookmarkStart w:id="71" w:name="_Toc186224280"/>
      <w:r>
        <w:rPr/>
        <w:t>Прочие положения</w:t>
      </w:r>
      <w:bookmarkEnd w:id="71"/>
    </w:p>
    <w:p>
      <w:pPr>
        <w:pStyle w:val="Style24"/>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4"/>
        <w:rPr/>
      </w:pPr>
      <w:bookmarkStart w:id="72"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2"/>
    </w:p>
    <w:p>
      <w:pPr>
        <w:pStyle w:val="Style24"/>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2"/>
        <w:rPr/>
      </w:pPr>
      <w:bookmarkStart w:id="73" w:name="_Ref125361210"/>
      <w:bookmarkStart w:id="74" w:name="_Toc186224281"/>
      <w:r>
        <w:rPr/>
        <w:t>Требования к Участникам</w:t>
      </w:r>
      <w:bookmarkEnd w:id="73"/>
      <w:bookmarkEnd w:id="74"/>
    </w:p>
    <w:p>
      <w:pPr>
        <w:pStyle w:val="Style23"/>
        <w:rPr/>
      </w:pPr>
      <w:bookmarkStart w:id="75" w:name="_Ref127524530"/>
      <w:bookmarkStart w:id="76" w:name="_Toc186224282"/>
      <w:r>
        <w:rPr/>
        <w:t>Общие требования к Участникам</w:t>
      </w:r>
      <w:bookmarkEnd w:id="75"/>
      <w:bookmarkEnd w:id="76"/>
    </w:p>
    <w:p>
      <w:pPr>
        <w:pStyle w:val="Style24"/>
        <w:rPr/>
      </w:pPr>
      <w:bookmarkStart w:id="77"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7"/>
    </w:p>
    <w:p>
      <w:pPr>
        <w:pStyle w:val="Style24"/>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4"/>
        <w:rPr/>
      </w:pPr>
      <w:r>
        <w:rPr/>
        <w:t xml:space="preserve">Требования к Участникам установлены с учетом предмета договора, </w:t>
      </w:r>
      <w:hyperlink w:anchor="Прил01_ТехТребования">
        <w:r>
          <w:rPr>
            <w:rStyle w:val="Style13"/>
          </w:rPr>
          <w:t>Технических требований (Приложение № 1)</w:t>
        </w:r>
      </w:hyperlink>
      <w:r>
        <w:rPr/>
        <w:t xml:space="preserve"> и </w:t>
      </w:r>
      <w:hyperlink w:anchor="Прил02_ПроектДоговора">
        <w:r>
          <w:rPr>
            <w:rStyle w:val="Style13"/>
          </w:rPr>
          <w:t>Проекта договора (Приложение № 2)</w:t>
        </w:r>
      </w:hyperlink>
      <w:r>
        <w:rPr/>
        <w:t>.</w:t>
      </w:r>
    </w:p>
    <w:p>
      <w:pPr>
        <w:pStyle w:val="Style24"/>
        <w:keepNext w:val="true"/>
        <w:rPr/>
      </w:pPr>
      <w:r>
        <w:rPr/>
        <w:t>Установлены следующие требования к Участникам, которые приведены в </w:t>
      </w:r>
      <w:hyperlink w:anchor="Прил03_ТребованияУчастникам">
        <w:r>
          <w:rPr>
            <w:rStyle w:val="Style13"/>
          </w:rPr>
          <w:t>Приложении № 3</w:t>
        </w:r>
      </w:hyperlink>
      <w:r>
        <w:rPr/>
        <w:t>:</w:t>
      </w:r>
    </w:p>
    <w:p>
      <w:pPr>
        <w:pStyle w:val="Style25"/>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5"/>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5"/>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4"/>
        <w:keepNext w:val="true"/>
        <w:rPr/>
      </w:pPr>
      <w:r>
        <w:rPr/>
        <w:t>В рамках требований к Участникам могут быть установлены дополнительные требования:</w:t>
      </w:r>
    </w:p>
    <w:p>
      <w:pPr>
        <w:pStyle w:val="Style25"/>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5"/>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4"/>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3"/>
          </w:rPr>
          <w:t>Требованиях к Участникам (Приложение № 3)</w:t>
        </w:r>
      </w:hyperlink>
      <w:r>
        <w:rPr/>
        <w:t>, если иное не установлено в Документации о закупке.</w:t>
      </w:r>
    </w:p>
    <w:p>
      <w:pPr>
        <w:pStyle w:val="Style23"/>
        <w:rPr/>
      </w:pPr>
      <w:bookmarkStart w:id="78" w:name="_Ref130305355"/>
      <w:bookmarkStart w:id="79" w:name="_Ref130308062"/>
      <w:bookmarkStart w:id="80" w:name="_Ref130308111"/>
      <w:bookmarkStart w:id="81" w:name="_Ref130308203"/>
      <w:bookmarkStart w:id="82" w:name="_Ref130308255"/>
      <w:bookmarkStart w:id="83" w:name="_Toc186224283"/>
      <w:bookmarkStart w:id="84" w:name="_Ref125361969"/>
      <w:bookmarkStart w:id="85" w:name="_Ref125361976"/>
      <w:r>
        <w:rPr/>
        <w:t>Коллективные участники</w:t>
      </w:r>
      <w:bookmarkEnd w:id="78"/>
      <w:bookmarkEnd w:id="79"/>
      <w:bookmarkEnd w:id="80"/>
      <w:bookmarkEnd w:id="81"/>
      <w:bookmarkEnd w:id="82"/>
      <w:bookmarkEnd w:id="83"/>
      <w:bookmarkEnd w:id="84"/>
      <w:bookmarkEnd w:id="85"/>
    </w:p>
    <w:p>
      <w:pPr>
        <w:pStyle w:val="Style24"/>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4"/>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3"/>
          </w:rPr>
          <w:t>Требований к Участникам (Приложение № 3)</w:t>
        </w:r>
      </w:hyperlink>
      <w:r>
        <w:rPr/>
        <w:t>.</w:t>
      </w:r>
    </w:p>
    <w:p>
      <w:pPr>
        <w:pStyle w:val="Style24"/>
        <w:keepNext w:val="true"/>
        <w:rPr/>
      </w:pPr>
      <w:bookmarkStart w:id="86"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6"/>
    </w:p>
    <w:p>
      <w:pPr>
        <w:pStyle w:val="Style25"/>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5"/>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5"/>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5"/>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5"/>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5"/>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4"/>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3"/>
          </w:rPr>
          <w:t>Приложение № 4</w:t>
        </w:r>
      </w:hyperlink>
      <w:r>
        <w:rPr/>
        <w:t>) на то, что он представляет интересы Коллективного участника.</w:t>
      </w:r>
    </w:p>
    <w:p>
      <w:pPr>
        <w:pStyle w:val="Style24"/>
        <w:rPr/>
      </w:pPr>
      <w:bookmarkStart w:id="87"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7"/>
    </w:p>
    <w:p>
      <w:pPr>
        <w:pStyle w:val="Style24"/>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4"/>
        <w:rPr/>
      </w:pPr>
      <w:bookmarkStart w:id="88"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89" w:name="_Hlk132708323"/>
      <w:r>
        <w:rPr/>
        <w:t>наличие требуемого опыта, обеспеченность материально-техническими ресурсами и кадровыми ресурсами</w:t>
      </w:r>
      <w:bookmarkEnd w:id="89"/>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88"/>
    </w:p>
    <w:p>
      <w:pPr>
        <w:pStyle w:val="Style24"/>
        <w:keepNext w:val="true"/>
        <w:rPr/>
      </w:pPr>
      <w:bookmarkStart w:id="90"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0"/>
    </w:p>
    <w:p>
      <w:pPr>
        <w:pStyle w:val="Style25"/>
        <w:rPr/>
      </w:pPr>
      <w:r>
        <w:rPr/>
        <w:t>принимать участие в этой же закупке самостоятельно;</w:t>
      </w:r>
    </w:p>
    <w:p>
      <w:pPr>
        <w:pStyle w:val="Style25"/>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28"/>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4"/>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3"/>
          </w:rPr>
          <w:t>Приложение № 3</w:t>
        </w:r>
      </w:hyperlink>
      <w:r>
        <w:rPr>
          <w:rStyle w:val="Style13"/>
        </w:rPr>
        <w:t>)</w:t>
      </w:r>
      <w:r>
        <w:rPr/>
        <w:t>, а также при несоблюдении вышеуказанных норм настоящего подраздела, заявка такого Коллективного участника отклоняется.</w:t>
      </w:r>
    </w:p>
    <w:p>
      <w:pPr>
        <w:pStyle w:val="Style24"/>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4"/>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3"/>
        <w:rPr/>
      </w:pPr>
      <w:bookmarkStart w:id="91" w:name="_Ref125361702"/>
      <w:bookmarkStart w:id="92" w:name="_Toc186224284"/>
      <w:r>
        <w:rPr/>
        <w:t>Генеральные подрядчики</w:t>
      </w:r>
      <w:bookmarkEnd w:id="91"/>
      <w:bookmarkEnd w:id="92"/>
    </w:p>
    <w:p>
      <w:pPr>
        <w:pStyle w:val="Style24"/>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4"/>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3"/>
          </w:rPr>
          <w:t>Требований к Участникам (Приложение № 3)</w:t>
        </w:r>
      </w:hyperlink>
      <w:r>
        <w:rPr/>
        <w:t>.</w:t>
      </w:r>
    </w:p>
    <w:p>
      <w:pPr>
        <w:pStyle w:val="Style24"/>
        <w:keepNext w:val="true"/>
        <w:rPr/>
      </w:pPr>
      <w:r>
        <w:rPr/>
        <w:t>Генеральный подрядчик:</w:t>
      </w:r>
    </w:p>
    <w:p>
      <w:pPr>
        <w:pStyle w:val="Style25"/>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5"/>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w:t>
      </w:r>
    </w:p>
    <w:p>
      <w:pPr>
        <w:pStyle w:val="Style24"/>
        <w:keepNext w:val="true"/>
        <w:rPr/>
      </w:pPr>
      <w:r>
        <w:rPr/>
        <w:t>Каждый субподрядчик из привлекаемых Генеральным подрядчиком должен отвечать:</w:t>
      </w:r>
    </w:p>
    <w:p>
      <w:pPr>
        <w:pStyle w:val="Style25"/>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5"/>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28"/>
        <w:ind w:left="1134" w:hanging="0"/>
        <w:rPr/>
      </w:pPr>
      <w:bookmarkStart w:id="93"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3"/>
      <w:r>
        <w:rPr/>
        <w:t>в соответствии с Планом распределения объемов поставки продукции (форма 11) (</w:t>
      </w:r>
      <w:hyperlink w:anchor="Прил04_ФормыЗаявки">
        <w:r>
          <w:rPr>
            <w:rStyle w:val="Style13"/>
          </w:rPr>
          <w:t>Приложение № 4</w:t>
        </w:r>
      </w:hyperlink>
      <w:r>
        <w:rPr/>
        <w:t>).</w:t>
      </w:r>
    </w:p>
    <w:p>
      <w:pPr>
        <w:pStyle w:val="Style24"/>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3"/>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4"/>
        <w:rPr/>
      </w:pPr>
      <w:bookmarkStart w:id="94"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4"/>
    </w:p>
    <w:p>
      <w:pPr>
        <w:sectPr>
          <w:headerReference w:type="default" r:id="rId6"/>
          <w:footerReference w:type="default" r:id="rId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3"/>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2"/>
        <w:rPr/>
      </w:pPr>
      <w:bookmarkStart w:id="95" w:name="_Ref125361211"/>
      <w:bookmarkStart w:id="96" w:name="_Ref125367098"/>
      <w:bookmarkStart w:id="97" w:name="_Ref125367107"/>
      <w:bookmarkStart w:id="98" w:name="_Ref125367974"/>
      <w:bookmarkStart w:id="99" w:name="_Toc186224285"/>
      <w:r>
        <w:rPr/>
        <w:t>Порядок проведения закупки</w:t>
      </w:r>
      <w:bookmarkEnd w:id="95"/>
      <w:bookmarkEnd w:id="96"/>
      <w:bookmarkEnd w:id="97"/>
      <w:bookmarkEnd w:id="98"/>
      <w:bookmarkEnd w:id="99"/>
    </w:p>
    <w:p>
      <w:pPr>
        <w:pStyle w:val="Style23"/>
        <w:rPr/>
      </w:pPr>
      <w:bookmarkStart w:id="100" w:name="_Ref126141932"/>
      <w:bookmarkStart w:id="101" w:name="_Toc186224286"/>
      <w:r>
        <w:rPr/>
        <w:t>Общий порядок проведения закупки</w:t>
      </w:r>
      <w:bookmarkEnd w:id="100"/>
      <w:bookmarkEnd w:id="101"/>
    </w:p>
    <w:p>
      <w:pPr>
        <w:pStyle w:val="Style24"/>
        <w:keepNext w:val="true"/>
        <w:spacing w:before="120" w:after="120"/>
        <w:rPr/>
      </w:pPr>
      <w:r>
        <w:rPr/>
        <w:t>Закупка проводится в следующем порядке:</w:t>
      </w:r>
    </w:p>
    <w:tbl>
      <w:tblPr>
        <w:tblStyle w:val="af5"/>
        <w:tblW w:w="14003" w:type="dxa"/>
        <w:jc w:val="left"/>
        <w:tblInd w:w="1129" w:type="dxa"/>
        <w:tblLayout w:type="fixed"/>
        <w:tblCellMar>
          <w:top w:w="0" w:type="dxa"/>
          <w:left w:w="0" w:type="dxa"/>
          <w:bottom w:w="0" w:type="dxa"/>
          <w:right w:w="5" w:type="dxa"/>
        </w:tblCellMar>
        <w:tblLook w:val="04a0" w:noHBand="0" w:noVBand="1" w:firstColumn="1" w:lastRow="0" w:lastColumn="0" w:firstRow="1"/>
      </w:tblPr>
      <w:tblGrid>
        <w:gridCol w:w="428"/>
        <w:gridCol w:w="2221"/>
        <w:gridCol w:w="1112"/>
        <w:gridCol w:w="1109"/>
        <w:gridCol w:w="2226"/>
        <w:gridCol w:w="2409"/>
        <w:gridCol w:w="2267"/>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28"/>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28"/>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7" w:type="dxa"/>
            <w:gridSpan w:val="5"/>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1"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7" w:type="dxa"/>
            <w:gridSpan w:val="2"/>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3"/>
        <w:rPr/>
      </w:pPr>
      <w:bookmarkStart w:id="102" w:name="_Ref130286532"/>
      <w:bookmarkStart w:id="103" w:name="_Toc186224287"/>
      <w:r>
        <w:rPr/>
        <w:t>Официальное размещение Извещения и Документации о закупке</w:t>
      </w:r>
      <w:bookmarkEnd w:id="102"/>
      <w:bookmarkEnd w:id="103"/>
    </w:p>
    <w:p>
      <w:pPr>
        <w:pStyle w:val="Style24"/>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4"/>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4"/>
        <w:rPr/>
      </w:pPr>
      <w:bookmarkStart w:id="104" w:name="_Ref125362785"/>
      <w:r>
        <w:rPr/>
        <w:t>Порядок получения информации через ЭП определяется Регламентом ЭП, с использованием которой проводится закупка.</w:t>
      </w:r>
      <w:bookmarkEnd w:id="104"/>
    </w:p>
    <w:p>
      <w:pPr>
        <w:pStyle w:val="Style24"/>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3"/>
        <w:rPr/>
      </w:pPr>
      <w:bookmarkStart w:id="105" w:name="_Ref130281199"/>
      <w:bookmarkStart w:id="106" w:name="_Ref130394681"/>
      <w:bookmarkStart w:id="107" w:name="_Toc186224288"/>
      <w:r>
        <w:rPr/>
        <w:t>Подготовка заявки</w:t>
      </w:r>
      <w:bookmarkEnd w:id="105"/>
      <w:bookmarkEnd w:id="106"/>
      <w:bookmarkEnd w:id="107"/>
    </w:p>
    <w:p>
      <w:pPr>
        <w:pStyle w:val="Style24"/>
        <w:rPr/>
      </w:pPr>
      <w:r>
        <w:rPr/>
        <w:t>Участник должен подготовить заявку с учетом требований Документации о закупке.</w:t>
      </w:r>
    </w:p>
    <w:p>
      <w:pPr>
        <w:pStyle w:val="Style24"/>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4"/>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3"/>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3"/>
          </w:rPr>
          <w:t>Приложение № 4</w:t>
        </w:r>
      </w:hyperlink>
      <w:r>
        <w:rPr/>
        <w:t>.</w:t>
      </w:r>
    </w:p>
    <w:p>
      <w:pPr>
        <w:pStyle w:val="Style24"/>
        <w:rPr/>
      </w:pPr>
      <w:bookmarkStart w:id="108" w:name="_Ref130394854"/>
      <w:bookmarkStart w:id="109" w:name="_Ref125365866"/>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08"/>
      <w:bookmarkEnd w:id="109"/>
    </w:p>
    <w:p>
      <w:pPr>
        <w:pStyle w:val="Style24"/>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3"/>
          </w:rPr>
          <w:t>Приложение № 4</w:t>
        </w:r>
      </w:hyperlink>
      <w:r>
        <w:rPr/>
        <w:t>) может служить основанием для отклонения заявки.</w:t>
      </w:r>
    </w:p>
    <w:p>
      <w:pPr>
        <w:pStyle w:val="Style24"/>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4"/>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4"/>
        <w:rPr/>
      </w:pPr>
      <w:bookmarkStart w:id="110" w:name="_Ref125370700"/>
      <w:bookmarkStart w:id="111" w:name="_Ref125370708"/>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4"/>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3"/>
          </w:rPr>
          <w:t>Техническими требованиями (Приложение № 1)</w:t>
        </w:r>
      </w:hyperlink>
      <w:r>
        <w:rPr/>
        <w:t xml:space="preserve"> и </w:t>
      </w:r>
      <w:hyperlink w:anchor="Прил02_ПроектДоговора">
        <w:r>
          <w:rPr>
            <w:rStyle w:val="Style13"/>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0"/>
      <w:bookmarkEnd w:id="111"/>
    </w:p>
    <w:p>
      <w:pPr>
        <w:pStyle w:val="Style31"/>
        <w:keepNext w:val="true"/>
        <w:rPr/>
      </w:pPr>
      <w:r>
        <w:rPr/>
        <w:t>[Альтернатива</w:t>
      </w:r>
      <w:r>
        <w:rPr>
          <w:lang w:val="en-US"/>
        </w:rPr>
        <w:t> </w:t>
      </w:r>
      <w:r>
        <w:rPr/>
        <w:t>1 (в случае закупки простой, стандартной, серийно выпускаемой продукции с указанием конкретной торговой марки (в случаях, установленных в Законе 223-ФЗ), а также в случае закупки работ / услуг по исчерпывающим неизменным исходным требованиям Заказчика):]</w:t>
      </w:r>
    </w:p>
    <w:p>
      <w:pPr>
        <w:pStyle w:val="Style24"/>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3"/>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13"/>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31"/>
        <w:rPr/>
      </w:pPr>
      <w:r>
        <w:rPr/>
        <w:t>[Альтернатива</w:t>
      </w:r>
      <w:r>
        <w:rPr>
          <w:lang w:val="en-US"/>
        </w:rPr>
        <w:t> </w:t>
      </w:r>
      <w:r>
        <w:rPr/>
        <w:t>2 (в случае закупки сложной продукции, требующей указания со стороны Участника конкретных технических, функциональных, эксплуатационных характеристик такой продукции и (или) предусматривающей возможность поставки эквивалентной продукции, а также в случае закупки работ / услуг, требующих в соответствии с разработанными техническими требованиями со стороны Участника описания своего подробного предложения в отношении технологии выполнения таких работ, объема оказания услуг и т.п.):]</w:t>
      </w:r>
    </w:p>
    <w:p>
      <w:pPr>
        <w:pStyle w:val="Style24"/>
        <w:rPr/>
      </w:pPr>
      <w:bookmarkStart w:id="112" w:name="_Ref130379863"/>
      <w:r>
        <w:rPr/>
        <w:t xml:space="preserve">Участник в составе заявки предоставляет по установленной форме Технического предложения (форма 4; </w:t>
      </w:r>
      <w:hyperlink w:anchor="Прил04_ФормыЗаявки">
        <w:r>
          <w:rPr>
            <w:rStyle w:val="Style13"/>
          </w:rPr>
          <w:t>Приложение № 4</w:t>
        </w:r>
      </w:hyperlink>
      <w:r>
        <w:rP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Style13"/>
          </w:rPr>
          <w:t>Технических требованиях (Приложение № 1)</w:t>
        </w:r>
      </w:hyperlink>
      <w:r>
        <w:rPr/>
        <w:t>.</w:t>
      </w:r>
      <w:bookmarkEnd w:id="112"/>
    </w:p>
    <w:p>
      <w:pPr>
        <w:pStyle w:val="Style24"/>
        <w:rPr/>
      </w:pPr>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3"/>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pPr>
        <w:pStyle w:val="Style24"/>
        <w:rPr/>
      </w:pPr>
      <w:r>
        <w:rPr/>
        <w:t xml:space="preserve">Если в </w:t>
      </w:r>
      <w:hyperlink w:anchor="Прил01_ТехТребования">
        <w:r>
          <w:rPr>
            <w:rStyle w:val="Style13"/>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3"/>
          </w:rPr>
          <w:t>Технических требованиях (Приложение № 1)</w:t>
        </w:r>
      </w:hyperlink>
      <w:r>
        <w:rPr/>
        <w:t>.</w:t>
      </w:r>
    </w:p>
    <w:p>
      <w:pPr>
        <w:pStyle w:val="Style24"/>
        <w:rPr/>
      </w:pPr>
      <w:bookmarkStart w:id="113"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3"/>
          </w:rPr>
          <w:t>Техническими требованиями (Приложение № 1)</w:t>
        </w:r>
      </w:hyperlink>
      <w:r>
        <w:rPr/>
        <w:t>.</w:t>
      </w:r>
      <w:bookmarkEnd w:id="113"/>
    </w:p>
    <w:p>
      <w:pPr>
        <w:pStyle w:val="Style24"/>
        <w:rPr/>
      </w:pPr>
      <w:bookmarkStart w:id="114"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4.3.11</w:t>
      </w:r>
      <w:r>
        <w:rPr/>
        <w:fldChar w:fldCharType="end"/>
      </w:r>
      <w:r>
        <w:rPr/>
        <w:t xml:space="preserve"> – </w:t>
      </w:r>
      <w:r>
        <w:rPr/>
        <w:fldChar w:fldCharType="begin"/>
      </w:r>
      <w:r>
        <w:rPr/>
        <w:instrText xml:space="preserve"> REF _Ref130379876 \r \h </w:instrText>
      </w:r>
      <w:r>
        <w:rPr/>
        <w:fldChar w:fldCharType="separate"/>
      </w:r>
      <w:r>
        <w:rPr/>
        <w:t>4.3.14</w:t>
      </w:r>
      <w:r>
        <w:rPr/>
        <w:fldChar w:fldCharType="end"/>
      </w:r>
      <w:r>
        <w:rPr/>
        <w:t>) Организатор вправе отклонить заявку такого Участника от дальнейшего участия в закупке.</w:t>
      </w:r>
      <w:bookmarkEnd w:id="114"/>
    </w:p>
    <w:p>
      <w:pPr>
        <w:pStyle w:val="Style31"/>
        <w:rPr>
          <w:lang w:val="en-US"/>
        </w:rPr>
      </w:pPr>
      <w:r>
        <w:rPr>
          <w:lang w:val="en-US"/>
        </w:rPr>
        <w:t>[</w:t>
      </w:r>
      <w:r>
        <w:rPr/>
        <w:t>Окончание выбора альтернатив</w:t>
      </w:r>
      <w:r>
        <w:rPr>
          <w:lang w:val="en-US"/>
        </w:rPr>
        <w:t>]</w:t>
      </w:r>
    </w:p>
    <w:p>
      <w:pPr>
        <w:pStyle w:val="Style24"/>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5"/>
        <w:rPr/>
      </w:pPr>
      <w:r>
        <w:rPr/>
        <w:t>внутренние противоречия между различными частями и (или) документами заявки, в том числе по тексту внутри одного документа;</w:t>
      </w:r>
    </w:p>
    <w:p>
      <w:pPr>
        <w:pStyle w:val="Style25"/>
        <w:rPr/>
      </w:pPr>
      <w:bookmarkStart w:id="115" w:name="_Ref125370398"/>
      <w:bookmarkStart w:id="116" w:name="_Ref125714384"/>
      <w:r>
        <w:rPr/>
        <w:t>противоречия между документами заявки и сведениями, указанными Участником в структурированных формах на ЭП.</w:t>
      </w:r>
      <w:bookmarkEnd w:id="115"/>
      <w:bookmarkEnd w:id="116"/>
    </w:p>
    <w:p>
      <w:pPr>
        <w:pStyle w:val="Style24"/>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5"/>
        <w:rPr/>
      </w:pPr>
      <w:r>
        <w:rPr/>
        <w:t>полномочий таких органов / лиц на оформление этих документов;</w:t>
      </w:r>
    </w:p>
    <w:p>
      <w:pPr>
        <w:pStyle w:val="Style25"/>
        <w:rPr/>
      </w:pPr>
      <w:r>
        <w:rPr/>
        <w:t>формы, объема и содержания этих документов.</w:t>
      </w:r>
    </w:p>
    <w:p>
      <w:pPr>
        <w:pStyle w:val="Style24"/>
        <w:keepNext w:val="true"/>
        <w:rPr/>
      </w:pPr>
      <w:r>
        <w:rPr/>
        <w:t>Участник должен подготовить заявку с соблюдением следующих условий:</w:t>
      </w:r>
    </w:p>
    <w:p>
      <w:pPr>
        <w:pStyle w:val="Style25"/>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5"/>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5"/>
        <w:rPr/>
      </w:pPr>
      <w:r>
        <w:rPr/>
        <w:t>все файлы не должны иметь защиты от их открытия, изменения, копирования их содержимого или их печати;</w:t>
      </w:r>
    </w:p>
    <w:p>
      <w:pPr>
        <w:pStyle w:val="Style25"/>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5"/>
        <w:rPr/>
      </w:pPr>
      <w:r>
        <w:rPr/>
        <w:t>если какой-либо документ представлен в нечитаемом виде, данный документ считается непредставленным.</w:t>
      </w:r>
    </w:p>
    <w:p>
      <w:pPr>
        <w:pStyle w:val="Style24"/>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3"/>
        <w:rPr/>
      </w:pPr>
      <w:bookmarkStart w:id="117" w:name="_Ref130394205"/>
      <w:bookmarkStart w:id="118" w:name="_Ref130394785"/>
      <w:bookmarkStart w:id="119" w:name="_Ref130394802"/>
      <w:bookmarkStart w:id="120" w:name="_Toc186224289"/>
      <w:bookmarkStart w:id="121" w:name="_Ref125361260"/>
      <w:bookmarkStart w:id="122" w:name="_Ref125362071"/>
      <w:bookmarkStart w:id="123" w:name="_Ref125366672"/>
      <w:r>
        <w:rPr/>
        <w:t>Разъяснение Документации о закупке</w:t>
      </w:r>
      <w:bookmarkEnd w:id="117"/>
      <w:bookmarkEnd w:id="118"/>
      <w:bookmarkEnd w:id="119"/>
      <w:bookmarkEnd w:id="120"/>
      <w:bookmarkEnd w:id="121"/>
      <w:bookmarkEnd w:id="122"/>
      <w:bookmarkEnd w:id="123"/>
    </w:p>
    <w:p>
      <w:pPr>
        <w:pStyle w:val="Style24"/>
        <w:rPr/>
      </w:pPr>
      <w:r>
        <w:rPr/>
        <w:t>Участники вправе обратиться к Организатору за разъяснениями Документации о закупке.</w:t>
      </w:r>
    </w:p>
    <w:p>
      <w:pPr>
        <w:pStyle w:val="Style24"/>
        <w:rPr/>
      </w:pPr>
      <w:r>
        <w:rPr/>
        <w:t>Запросы подаются в соответствии с Регламентами и инструкциями Оператора ЭП, опубликованными на сайте соответствующей ЭП.</w:t>
      </w:r>
    </w:p>
    <w:p>
      <w:pPr>
        <w:pStyle w:val="Style24"/>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4"/>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4"/>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4"/>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3"/>
          </w:rPr>
          <w:t>Проекта договора (Приложения № 2)</w:t>
        </w:r>
      </w:hyperlink>
      <w:r>
        <w:rPr>
          <w:rStyle w:val="Style13"/>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4"/>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3"/>
        <w:rPr/>
      </w:pPr>
      <w:bookmarkStart w:id="124" w:name="_Ref125362076"/>
      <w:bookmarkStart w:id="125" w:name="_Ref125363891"/>
      <w:bookmarkStart w:id="126" w:name="_Ref125364404"/>
      <w:bookmarkStart w:id="127" w:name="_Toc186224290"/>
      <w:r>
        <w:rPr/>
        <w:t>Изменения Извещения и (или) Документации о закупке</w:t>
      </w:r>
      <w:bookmarkEnd w:id="124"/>
      <w:bookmarkEnd w:id="125"/>
      <w:bookmarkEnd w:id="126"/>
      <w:bookmarkEnd w:id="127"/>
    </w:p>
    <w:p>
      <w:pPr>
        <w:pStyle w:val="Style24"/>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4"/>
        <w:rPr/>
      </w:pPr>
      <w:bookmarkStart w:id="128"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28"/>
    </w:p>
    <w:p>
      <w:pPr>
        <w:pStyle w:val="Style24"/>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4"/>
        <w:rPr/>
      </w:pPr>
      <w:bookmarkStart w:id="129"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29"/>
      <w:r>
        <w:rPr/>
        <w:t xml:space="preserve"> 4 (четырех) рабочих дней.</w:t>
      </w:r>
    </w:p>
    <w:p>
      <w:pPr>
        <w:pStyle w:val="Style24"/>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3"/>
        <w:rPr/>
      </w:pPr>
      <w:bookmarkStart w:id="130" w:name="_Ref125362119"/>
      <w:bookmarkStart w:id="131" w:name="_Toc186224291"/>
      <w:r>
        <w:rPr/>
        <w:t>Подача заявок и их прием</w:t>
      </w:r>
      <w:bookmarkEnd w:id="130"/>
      <w:bookmarkEnd w:id="131"/>
    </w:p>
    <w:p>
      <w:pPr>
        <w:pStyle w:val="Style24"/>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4"/>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4"/>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4"/>
        <w:rPr/>
      </w:pPr>
      <w:r>
        <w:rPr/>
        <w:t>Заявка должна быть подписана электронной подписью лица, которое является уполномоченным представителем Участника.</w:t>
      </w:r>
    </w:p>
    <w:p>
      <w:pPr>
        <w:pStyle w:val="Style24"/>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4"/>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4"/>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3"/>
        <w:rPr/>
      </w:pPr>
      <w:bookmarkStart w:id="132" w:name="_Ref125362130"/>
      <w:bookmarkStart w:id="133" w:name="_Ref125362192"/>
      <w:bookmarkStart w:id="134" w:name="_Ref125363819"/>
      <w:bookmarkStart w:id="135" w:name="_Ref125365136"/>
      <w:bookmarkStart w:id="136" w:name="_Toc186224292"/>
      <w:r>
        <w:rPr/>
        <w:t>Изменение и отзыв заявок</w:t>
      </w:r>
      <w:bookmarkEnd w:id="132"/>
      <w:bookmarkEnd w:id="133"/>
      <w:bookmarkEnd w:id="134"/>
      <w:bookmarkEnd w:id="135"/>
      <w:bookmarkEnd w:id="136"/>
    </w:p>
    <w:p>
      <w:pPr>
        <w:pStyle w:val="Style24"/>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4"/>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4"/>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4"/>
        <w:rPr/>
      </w:pPr>
      <w:r>
        <w:rPr/>
        <w:t>Изменения и отзыв заявки осуществляется посредством функционала ЭП (подробный порядок определяется Регламентом ЭП).</w:t>
      </w:r>
    </w:p>
    <w:p>
      <w:pPr>
        <w:pStyle w:val="Style23"/>
        <w:rPr/>
      </w:pPr>
      <w:bookmarkStart w:id="137" w:name="_Ref130221619"/>
      <w:bookmarkStart w:id="138" w:name="_Ref125364340"/>
      <w:bookmarkStart w:id="139" w:name="_Toc186224293"/>
      <w:bookmarkEnd w:id="138"/>
      <w:r>
        <w:rPr/>
        <w:t>Открытие доступа к заявкам</w:t>
      </w:r>
      <w:bookmarkEnd w:id="137"/>
      <w:bookmarkEnd w:id="139"/>
    </w:p>
    <w:p>
      <w:pPr>
        <w:pStyle w:val="Style24"/>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Оператор ЭП предоставляет Организатору доступ одновременно ко всем поданным заявкам в полном объеме.</w:t>
      </w:r>
    </w:p>
    <w:p>
      <w:pPr>
        <w:pStyle w:val="Style24"/>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присваиваемые Оператором ЭП;</w:t>
      </w:r>
    </w:p>
    <w:p>
      <w:pPr>
        <w:pStyle w:val="Style25"/>
        <w:rPr/>
      </w:pPr>
      <w:r>
        <w:rPr/>
        <w:t>стоимости заявок (или иное указание на общую стоимость заявки);</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8"/>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4"/>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4"/>
        <w:rPr/>
      </w:pPr>
      <w:r>
        <w:rPr/>
        <w:t>Порядок получения Участниками информации о поступивших заявках через ЭП определяется Регламентом ЭП.</w:t>
      </w:r>
    </w:p>
    <w:p>
      <w:pPr>
        <w:pStyle w:val="Style23"/>
        <w:rPr/>
      </w:pPr>
      <w:bookmarkStart w:id="140" w:name="_Ref135749133"/>
      <w:bookmarkStart w:id="141" w:name="_Toc186224294"/>
      <w:bookmarkStart w:id="142" w:name="_Ref125362364"/>
      <w:bookmarkStart w:id="143" w:name="_Ref125366689"/>
      <w:bookmarkStart w:id="144" w:name="_Ref125364340_Копия_1"/>
      <w:bookmarkEnd w:id="144"/>
      <w:r>
        <w:rPr/>
        <w:t>Рассмотрение заявок (отборочная стадия)</w:t>
      </w:r>
      <w:bookmarkEnd w:id="142"/>
      <w:bookmarkEnd w:id="143"/>
      <w:r>
        <w:rPr/>
        <w:t>, в том числе (при необходимости) проведение аккредитации</w:t>
      </w:r>
      <w:bookmarkEnd w:id="140"/>
      <w:bookmarkEnd w:id="141"/>
    </w:p>
    <w:p>
      <w:pPr>
        <w:pStyle w:val="Style24"/>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4"/>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3"/>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4"/>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4"/>
        <w:keepNext w:val="true"/>
        <w:rPr/>
      </w:pPr>
      <w:r>
        <w:rPr/>
        <w:t>При выявлении в рамках рассмотрения заявок наличия арифметических ошибок, в том числе:</w:t>
      </w:r>
    </w:p>
    <w:p>
      <w:pPr>
        <w:pStyle w:val="Style25"/>
        <w:rPr/>
      </w:pPr>
      <w:r>
        <w:rPr/>
        <w:t>в результате суммирования единичных расценок;</w:t>
      </w:r>
    </w:p>
    <w:p>
      <w:pPr>
        <w:pStyle w:val="Style25"/>
        <w:rPr/>
      </w:pPr>
      <w:r>
        <w:rPr/>
        <w:t>в итогах умножения единичных расценок на объем продукции;</w:t>
      </w:r>
    </w:p>
    <w:p>
      <w:pPr>
        <w:pStyle w:val="Style25"/>
        <w:rPr/>
      </w:pPr>
      <w:r>
        <w:rPr/>
        <w:t>в вычислении суммы НДС и итоговой стоимости заявки с учетом НДС;</w:t>
      </w:r>
    </w:p>
    <w:p>
      <w:pPr>
        <w:pStyle w:val="Style25"/>
        <w:rPr/>
      </w:pPr>
      <w:r>
        <w:rPr/>
        <w:t>иных внутренних противоречий в составе заявки,</w:t>
      </w:r>
    </w:p>
    <w:p>
      <w:pPr>
        <w:pStyle w:val="Style28"/>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4"/>
        <w:keepNext w:val="true"/>
        <w:rPr/>
      </w:pPr>
      <w:bookmarkStart w:id="145"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45"/>
    </w:p>
    <w:p>
      <w:pPr>
        <w:pStyle w:val="Style25"/>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6"/>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6"/>
        <w:rPr/>
      </w:pPr>
      <w:r>
        <w:rPr/>
        <w:t>внутренних противоречий между различными частями и (или) документами заявки, в том числе по тексту внутри одного документа;</w:t>
      </w:r>
    </w:p>
    <w:p>
      <w:pPr>
        <w:pStyle w:val="Style26"/>
        <w:rPr/>
      </w:pPr>
      <w:r>
        <w:rPr/>
        <w:t>противоречий между документами заявки и сведениями, указанными Участником в структурированных формах на ЭП;</w:t>
      </w:r>
    </w:p>
    <w:p>
      <w:pPr>
        <w:pStyle w:val="Style25"/>
        <w:rPr/>
      </w:pPr>
      <w:r>
        <w:rPr/>
        <w:t>несоответствие Участников требованиям Документации о закупке;</w:t>
      </w:r>
    </w:p>
    <w:p>
      <w:pPr>
        <w:pStyle w:val="Style25"/>
        <w:rPr/>
      </w:pPr>
      <w:r>
        <w:rPr/>
        <w:t>несоответствие привлекаемых субподрядчиков (соисполнителей) требованиям Документации о закупке;</w:t>
      </w:r>
    </w:p>
    <w:p>
      <w:pPr>
        <w:pStyle w:val="Style25"/>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5"/>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5"/>
        <w:rPr/>
      </w:pPr>
      <w:r>
        <w:rPr/>
        <w:t>несоответствие размера, формы, условий и порядка предоставления обеспечения заявки.</w:t>
      </w:r>
    </w:p>
    <w:p>
      <w:pPr>
        <w:pStyle w:val="Style24"/>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4"/>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присваиваемые Оператором ЭП;</w:t>
      </w:r>
    </w:p>
    <w:p>
      <w:pPr>
        <w:pStyle w:val="Style25"/>
        <w:keepNext w:val="true"/>
        <w:rPr/>
      </w:pPr>
      <w:r>
        <w:rPr/>
        <w:t>результаты рассмотрения заявок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5"/>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6"/>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6"/>
        <w:rPr/>
      </w:pPr>
      <w:r>
        <w:rPr/>
        <w:t>порядкового номера каждой допущенной заявки в предварительной ранжировке заявок, включая стоимость заявки (цену Договора);</w:t>
      </w:r>
    </w:p>
    <w:p>
      <w:pPr>
        <w:pStyle w:val="Style25"/>
        <w:rPr/>
      </w:pPr>
      <w:bookmarkStart w:id="146" w:name="_Ref125551524"/>
      <w:r>
        <w:rPr/>
        <w:t>решение о проведении или непроведении переторжки,</w:t>
      </w:r>
      <w:bookmarkEnd w:id="146"/>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4"/>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4"/>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3"/>
        <w:rPr/>
      </w:pPr>
      <w:bookmarkStart w:id="147" w:name="_Ref125362381"/>
      <w:bookmarkStart w:id="148" w:name="_Ref125362425"/>
      <w:bookmarkStart w:id="149" w:name="_Ref125362464"/>
      <w:bookmarkStart w:id="150" w:name="_Ref125362610"/>
      <w:bookmarkStart w:id="151" w:name="_Toc186224295"/>
      <w:r>
        <w:rPr/>
        <w:t>Дополнительные запросы разъяснений заявок</w:t>
      </w:r>
      <w:bookmarkEnd w:id="147"/>
      <w:bookmarkEnd w:id="148"/>
      <w:bookmarkEnd w:id="149"/>
      <w:bookmarkEnd w:id="150"/>
      <w:bookmarkEnd w:id="151"/>
    </w:p>
    <w:p>
      <w:pPr>
        <w:pStyle w:val="Style24"/>
        <w:rPr/>
      </w:pPr>
      <w:bookmarkStart w:id="152"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2"/>
    </w:p>
    <w:p>
      <w:pPr>
        <w:pStyle w:val="Style25"/>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6"/>
        <w:rPr/>
      </w:pPr>
      <w:r>
        <w:rPr/>
        <w:t>соответствия Участника требованиям Документации о закупке;</w:t>
      </w:r>
    </w:p>
    <w:p>
      <w:pPr>
        <w:pStyle w:val="Style26"/>
        <w:rPr/>
      </w:pPr>
      <w:r>
        <w:rPr/>
        <w:t>наличия соответствующих полномочий на подписание заявки от имени Участника у лица, подписавшего заявку;</w:t>
      </w:r>
    </w:p>
    <w:p>
      <w:pPr>
        <w:pStyle w:val="Style26"/>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5"/>
        <w:rPr/>
      </w:pPr>
      <w:bookmarkStart w:id="153"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5"/>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53"/>
    </w:p>
    <w:p>
      <w:pPr>
        <w:pStyle w:val="Style24"/>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4"/>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4"/>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4"/>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4"/>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4"/>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4"/>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3"/>
        <w:rPr/>
      </w:pPr>
      <w:bookmarkStart w:id="154" w:name="_Ref125362430"/>
      <w:bookmarkStart w:id="155" w:name="_Ref125362537"/>
      <w:bookmarkStart w:id="156" w:name="_Ref127536359"/>
      <w:bookmarkStart w:id="157" w:name="_Toc186224296"/>
      <w:r>
        <w:rPr/>
        <w:t>Переторжка</w:t>
      </w:r>
      <w:bookmarkEnd w:id="154"/>
      <w:bookmarkEnd w:id="155"/>
      <w:bookmarkEnd w:id="156"/>
      <w:bookmarkEnd w:id="157"/>
    </w:p>
    <w:p>
      <w:pPr>
        <w:pStyle w:val="Style24"/>
        <w:rPr/>
      </w:pPr>
      <w:r>
        <w:rPr/>
        <w:t>Нормы настоящего подраздела применяются в случае проведения процедуры переторжки.</w:t>
      </w:r>
    </w:p>
    <w:p>
      <w:pPr>
        <w:pStyle w:val="Style24"/>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4"/>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5"/>
        <w:rPr/>
      </w:pPr>
      <w:r>
        <w:rPr/>
        <w:t>стоимость заявки (цена Договора) / цена за единицу продукции;</w:t>
      </w:r>
    </w:p>
    <w:p>
      <w:pPr>
        <w:pStyle w:val="Style25"/>
        <w:rPr/>
      </w:pPr>
      <w:r>
        <w:rPr/>
        <w:t>сроки поставки продукции;</w:t>
      </w:r>
    </w:p>
    <w:p>
      <w:pPr>
        <w:pStyle w:val="Style25"/>
        <w:rPr/>
      </w:pPr>
      <w:r>
        <w:rPr/>
        <w:t>условия оплаты;</w:t>
      </w:r>
    </w:p>
    <w:p>
      <w:pPr>
        <w:pStyle w:val="Style25"/>
        <w:rPr/>
      </w:pPr>
      <w:r>
        <w:rPr/>
        <w:t>иные условия, которые являются критериями оценки заявок.</w:t>
      </w:r>
    </w:p>
    <w:p>
      <w:pPr>
        <w:pStyle w:val="Style28"/>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4"/>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4"/>
        <w:rPr/>
      </w:pPr>
      <w:r>
        <w:rPr/>
        <w:t>В переторжке может принять участие любой Участник, заявка которого не была отклонена по результатам рассмотрения заявок.</w:t>
      </w:r>
    </w:p>
    <w:p>
      <w:pPr>
        <w:pStyle w:val="Style24"/>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3"/>
          </w:rPr>
          <w:t>Приложение № 4</w:t>
        </w:r>
      </w:hyperlink>
      <w:r>
        <w:rPr/>
        <w:t>).</w:t>
      </w:r>
    </w:p>
    <w:p>
      <w:pPr>
        <w:pStyle w:val="Style24"/>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4"/>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4"/>
        <w:rPr/>
      </w:pPr>
      <w:r>
        <w:rPr/>
        <w:t>Участник не вправе изменять и (или) отзывать поданные предложения на переторжку после окончания ее проведения.</w:t>
      </w:r>
    </w:p>
    <w:p>
      <w:pPr>
        <w:pStyle w:val="Style24"/>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4"/>
        <w:rPr/>
      </w:pPr>
      <w:r>
        <w:rPr/>
        <w:t>Процедура переторжки проводится на ЭП в порядке, предусмотренном настоящим подразделом и Регламентом ЭП.</w:t>
      </w:r>
    </w:p>
    <w:p>
      <w:pPr>
        <w:pStyle w:val="Style24"/>
        <w:keepNext w:val="true"/>
        <w:rPr/>
      </w:pPr>
      <w:r>
        <w:rPr/>
        <w:t>В зависимости от правил, предусмотренных Регламентом ЭП, переторжка может проводиться:</w:t>
      </w:r>
    </w:p>
    <w:p>
      <w:pPr>
        <w:pStyle w:val="Style25"/>
        <w:rPr/>
      </w:pPr>
      <w:r>
        <w:rPr/>
        <w:t>в заочной форме путем однократной подачи предложения на переторжку к установленному сроку;</w:t>
      </w:r>
    </w:p>
    <w:p>
      <w:pPr>
        <w:pStyle w:val="Style25"/>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4"/>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4"/>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4"/>
        <w:rPr/>
      </w:pPr>
      <w:bookmarkStart w:id="158"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58"/>
    </w:p>
    <w:p>
      <w:pPr>
        <w:pStyle w:val="Style24"/>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4"/>
        <w:keepNext w:val="true"/>
        <w:rPr/>
      </w:pPr>
      <w:bookmarkStart w:id="159" w:name="_Ref136244167"/>
      <w:r>
        <w:rPr/>
        <w:t>Документы заявки, подлежащие корректировке по результатам переторжки:</w:t>
      </w:r>
      <w:bookmarkEnd w:id="159"/>
    </w:p>
    <w:p>
      <w:pPr>
        <w:pStyle w:val="Style25"/>
        <w:rPr/>
      </w:pPr>
      <w:r>
        <w:rPr/>
        <w:t>Письмо о подаче оферты (форма 2) (</w:t>
      </w:r>
      <w:hyperlink w:anchor="Прил04_ФормыЗаявки">
        <w:r>
          <w:rPr>
            <w:rStyle w:val="Style13"/>
          </w:rPr>
          <w:t>Приложение № 4</w:t>
        </w:r>
      </w:hyperlink>
      <w:r>
        <w:rPr/>
        <w:t>);</w:t>
      </w:r>
    </w:p>
    <w:p>
      <w:pPr>
        <w:pStyle w:val="Style25"/>
        <w:rPr/>
      </w:pPr>
      <w:r>
        <w:rPr/>
        <w:t>Коммерческое предложение (форма 3) (</w:t>
      </w:r>
      <w:hyperlink w:anchor="Прил04_ФормыЗаявки">
        <w:r>
          <w:rPr>
            <w:rStyle w:val="Style13"/>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3"/>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5"/>
        <w:rPr/>
      </w:pPr>
      <w:r>
        <w:rPr/>
        <w:t>План распределения объемов поставки продукции (форма 11) (</w:t>
      </w:r>
      <w:hyperlink w:anchor="Прил04_ФормыЗаявки">
        <w:r>
          <w:rPr>
            <w:rStyle w:val="Style13"/>
          </w:rPr>
          <w:t>Приложение № 4</w:t>
        </w:r>
      </w:hyperlink>
      <w:r>
        <w:rPr/>
        <w:t>) – только если заявка подана Коллективным участником или Генеральным подрядчиком;</w:t>
      </w:r>
    </w:p>
    <w:p>
      <w:pPr>
        <w:pStyle w:val="Style25"/>
        <w:rPr/>
      </w:pPr>
      <w:bookmarkStart w:id="160" w:name="_Ref130376111"/>
      <w:r>
        <w:rPr/>
        <w:t>иной документ, указанный в протоколе закупки (которым назначена переторжка), связанный с предметом проводимой переторжки.</w:t>
      </w:r>
      <w:bookmarkEnd w:id="160"/>
    </w:p>
    <w:p>
      <w:pPr>
        <w:pStyle w:val="Style24"/>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4"/>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4"/>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3"/>
        <w:rPr/>
      </w:pPr>
      <w:bookmarkStart w:id="161" w:name="_Ref125365335"/>
      <w:bookmarkStart w:id="162" w:name="_Ref125365519"/>
      <w:bookmarkStart w:id="163" w:name="_Ref125366534"/>
      <w:bookmarkStart w:id="164" w:name="_Ref125369041"/>
      <w:bookmarkStart w:id="165" w:name="_Ref125369308"/>
      <w:bookmarkStart w:id="166" w:name="_Toc186224297"/>
      <w:bookmarkStart w:id="167" w:name="_Ref125362626"/>
      <w:r>
        <w:rPr/>
        <w:t>Оценка и сопоставление заявок</w:t>
      </w:r>
      <w:bookmarkEnd w:id="161"/>
      <w:bookmarkEnd w:id="162"/>
      <w:bookmarkEnd w:id="163"/>
      <w:bookmarkEnd w:id="164"/>
      <w:bookmarkEnd w:id="165"/>
      <w:bookmarkEnd w:id="166"/>
      <w:bookmarkEnd w:id="167"/>
    </w:p>
    <w:p>
      <w:pPr>
        <w:pStyle w:val="Style24"/>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3"/>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4"/>
        <w:rPr/>
      </w:pPr>
      <w:r>
        <w:rPr/>
        <w:t xml:space="preserve">Если в соответствии с </w:t>
      </w:r>
      <w:hyperlink w:anchor="Прил08_ПорядокОценки">
        <w:r>
          <w:rPr>
            <w:rStyle w:val="Style13"/>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5"/>
        <w:rPr/>
      </w:pPr>
      <w:r>
        <w:rPr/>
        <w:t>в соответствии с единственным ценовым критерием оценки (критерием выбора Победителя) – стоимость заявки (цена Договора);</w:t>
      </w:r>
    </w:p>
    <w:p>
      <w:pPr>
        <w:pStyle w:val="Style25"/>
        <w:rPr/>
      </w:pPr>
      <w:r>
        <w:rPr/>
        <w:t>в едином базисе без учета НДС;</w:t>
      </w:r>
    </w:p>
    <w:p>
      <w:pPr>
        <w:pStyle w:val="Style25"/>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4"/>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4"/>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4"/>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4"/>
        <w:rPr/>
      </w:pPr>
      <w:r>
        <w:rPr/>
        <w:t>Результаты оценки и сопоставления заявок вносятся в итоговый протокол по результатам закупки.</w:t>
      </w:r>
    </w:p>
    <w:p>
      <w:pPr>
        <w:pStyle w:val="Style23"/>
        <w:rPr/>
      </w:pPr>
      <w:bookmarkStart w:id="168" w:name="_Ref186128193"/>
      <w:bookmarkStart w:id="169" w:name="_Ref130985951"/>
      <w:bookmarkStart w:id="170" w:name="_Ref132894106"/>
      <w:bookmarkStart w:id="171" w:name="_Ref132894111"/>
      <w:bookmarkStart w:id="172" w:name="_Ref125366064"/>
      <w:bookmarkStart w:id="173" w:name="_Ref125369991"/>
      <w:bookmarkStart w:id="174" w:name="_Ref125370507"/>
      <w:bookmarkStart w:id="175" w:name="_Ref130458671"/>
      <w:bookmarkStart w:id="176" w:name="_Toc186224298"/>
      <w:r>
        <w:rPr/>
        <w:t>Применение законодательства о национальном режиме</w:t>
      </w:r>
      <w:bookmarkEnd w:id="168"/>
      <w:bookmarkEnd w:id="169"/>
      <w:bookmarkEnd w:id="170"/>
      <w:bookmarkEnd w:id="171"/>
      <w:bookmarkEnd w:id="172"/>
      <w:bookmarkEnd w:id="173"/>
      <w:bookmarkEnd w:id="174"/>
      <w:bookmarkEnd w:id="175"/>
      <w:bookmarkEnd w:id="176"/>
    </w:p>
    <w:p>
      <w:pPr>
        <w:pStyle w:val="Style24"/>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4"/>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3"/>
          </w:rPr>
          <w:t>Технических требованиях (Приложение № 1)</w:t>
        </w:r>
      </w:hyperlink>
      <w:r>
        <w:rPr/>
        <w:t>.</w:t>
      </w:r>
    </w:p>
    <w:p>
      <w:pPr>
        <w:pStyle w:val="Style23"/>
        <w:rPr/>
      </w:pPr>
      <w:bookmarkStart w:id="177" w:name="_Ref125362658"/>
      <w:bookmarkStart w:id="178" w:name="_Ref125366091"/>
      <w:bookmarkStart w:id="179" w:name="_Ref125367242"/>
      <w:bookmarkStart w:id="180" w:name="_Toc186224299"/>
      <w:r>
        <w:rPr/>
        <w:t>Подведение итогов закупки (определение Победителя)</w:t>
      </w:r>
      <w:bookmarkEnd w:id="177"/>
      <w:bookmarkEnd w:id="178"/>
      <w:bookmarkEnd w:id="179"/>
      <w:bookmarkEnd w:id="180"/>
    </w:p>
    <w:p>
      <w:pPr>
        <w:pStyle w:val="Style24"/>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4"/>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4"/>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3"/>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4"/>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4"/>
        <w:keepNext w:val="true"/>
        <w:rPr/>
      </w:pPr>
      <w:bookmarkStart w:id="181"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1"/>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допущенных по результатам рассмотрения заявок, присваиваемые Оператором ЭП;</w:t>
      </w:r>
    </w:p>
    <w:p>
      <w:pPr>
        <w:pStyle w:val="Style25"/>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3"/>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5"/>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5"/>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5"/>
        <w:rPr/>
      </w:pPr>
      <w:r>
        <w:rPr/>
        <w:t>причины, по которым закупка признана несостоявшейся (в случае ее признания таковой),</w:t>
      </w:r>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4"/>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3"/>
        <w:rPr/>
      </w:pPr>
      <w:bookmarkStart w:id="182" w:name="_Ref125364149"/>
      <w:bookmarkStart w:id="183" w:name="_Ref125364187"/>
      <w:bookmarkStart w:id="184" w:name="_Ref125365305"/>
      <w:bookmarkStart w:id="185" w:name="_Ref125366796"/>
      <w:bookmarkStart w:id="186" w:name="_Toc186224300"/>
      <w:bookmarkStart w:id="187" w:name="_Ref125365570"/>
      <w:bookmarkStart w:id="188" w:name="_Ref125366631"/>
      <w:r>
        <w:rPr/>
        <w:t>Признание закупки несостоявшейся</w:t>
      </w:r>
      <w:bookmarkEnd w:id="182"/>
      <w:bookmarkEnd w:id="183"/>
      <w:bookmarkEnd w:id="184"/>
      <w:bookmarkEnd w:id="185"/>
      <w:bookmarkEnd w:id="186"/>
      <w:bookmarkEnd w:id="187"/>
      <w:bookmarkEnd w:id="188"/>
    </w:p>
    <w:p>
      <w:pPr>
        <w:pStyle w:val="Style24"/>
        <w:keepNext w:val="true"/>
        <w:rPr/>
      </w:pPr>
      <w:r>
        <w:rPr/>
        <w:t>Закупка признается несостоявшейся в следующих случаях:</w:t>
      </w:r>
    </w:p>
    <w:p>
      <w:pPr>
        <w:pStyle w:val="Style25"/>
        <w:rPr/>
      </w:pPr>
      <w:r>
        <w:rPr/>
        <w:t>если по окончанию срока подачи заявок поступило менее 2 (двух) заявок (с учетом возможных отзывов заявок);</w:t>
      </w:r>
    </w:p>
    <w:p>
      <w:pPr>
        <w:pStyle w:val="Style25"/>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4"/>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4"/>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5"/>
        <w:rPr/>
      </w:pPr>
      <w:r>
        <w:rPr/>
        <w:t>принять решение о проведении повторной закупки;</w:t>
      </w:r>
    </w:p>
    <w:p>
      <w:pPr>
        <w:pStyle w:val="Style25"/>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5"/>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3"/>
        <w:rPr/>
      </w:pPr>
      <w:bookmarkStart w:id="189" w:name="_Toc186224301"/>
      <w:bookmarkStart w:id="190" w:name="_Ref126141962"/>
      <w:r>
        <w:rPr/>
        <w:t>Отказ от проведения закупки</w:t>
      </w:r>
      <w:bookmarkEnd w:id="190"/>
      <w:r>
        <w:rPr/>
        <w:t xml:space="preserve"> (отмена закупки)</w:t>
      </w:r>
      <w:bookmarkEnd w:id="189"/>
    </w:p>
    <w:p>
      <w:pPr>
        <w:pStyle w:val="Style24"/>
        <w:rPr/>
      </w:pPr>
      <w:r>
        <w:rPr/>
        <w:t>Организатор имеет право в любое время отказаться от проведения закупки, не неся никакой ответственности перед Участниками или третьими лицами, которым такое действие может принести убытки.</w:t>
      </w:r>
    </w:p>
    <w:p>
      <w:pPr>
        <w:pStyle w:val="Style24"/>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3"/>
        <w:rPr/>
      </w:pPr>
      <w:bookmarkStart w:id="191" w:name="_Ref130455226"/>
      <w:bookmarkStart w:id="192" w:name="_Toc186224302"/>
      <w:r>
        <w:rPr/>
        <w:t>Особенности проведения закупки с необходимостью обеспечения заявки</w:t>
      </w:r>
      <w:bookmarkEnd w:id="191"/>
      <w:bookmarkEnd w:id="192"/>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4"/>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4"/>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5"/>
        <w:rPr/>
      </w:pPr>
      <w:r>
        <w:rPr/>
        <w:t>банковская гарантия должна быть безотзывной и безусловной (гарантия по первому требованию);</w:t>
      </w:r>
    </w:p>
    <w:p>
      <w:pPr>
        <w:pStyle w:val="Style25"/>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5"/>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5"/>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5"/>
        <w:rPr/>
      </w:pPr>
      <w:r>
        <w:rPr/>
        <w:t>платеж по банковской гарантии должен быть осуществлен в течение 10 (десяти) рабочих дней после обращения бенефициара;</w:t>
      </w:r>
    </w:p>
    <w:p>
      <w:pPr>
        <w:pStyle w:val="Style25"/>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5"/>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5"/>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4"/>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4"/>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4"/>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4"/>
        <w:rPr/>
      </w:pPr>
      <w:r>
        <w:rPr/>
        <w:t>Подать заявку (принять участие в закупке) могут только Участники, предоставившие надлежащее обеспечение их заявок.</w:t>
      </w:r>
    </w:p>
    <w:p>
      <w:pPr>
        <w:pStyle w:val="Style24"/>
        <w:rPr/>
      </w:pPr>
      <w:r>
        <w:rPr/>
        <w:t>Требование об обеспечении заявки в равной мере распространяется на всех Участников.</w:t>
      </w:r>
    </w:p>
    <w:p>
      <w:pPr>
        <w:pStyle w:val="Style24"/>
        <w:keepNext w:val="true"/>
        <w:rPr/>
      </w:pPr>
      <w:bookmarkStart w:id="193"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93"/>
    </w:p>
    <w:p>
      <w:pPr>
        <w:pStyle w:val="Style25"/>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3"/>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5"/>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3"/>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3"/>
          </w:rPr>
          <w:t>Проектом договора</w:t>
        </w:r>
      </w:hyperlink>
      <w:r>
        <w:rPr/>
        <w:t>).</w:t>
      </w:r>
    </w:p>
    <w:p>
      <w:pPr>
        <w:pStyle w:val="Style24"/>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4"/>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5"/>
        <w:rPr/>
      </w:pPr>
      <w:r>
        <w:rPr/>
        <w:t>принятия решения об отказе от проведения закупки – всем Участникам, подавшим заявки к моменту принятия такого решения;</w:t>
      </w:r>
    </w:p>
    <w:p>
      <w:pPr>
        <w:pStyle w:val="Style25"/>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5"/>
        <w:rPr/>
      </w:pPr>
      <w:r>
        <w:rPr/>
        <w:t>официального размещения протокола рассмотрения заявок (при условии его оформления) – Участникам, чьи заявки были отклонены;</w:t>
      </w:r>
    </w:p>
    <w:p>
      <w:pPr>
        <w:pStyle w:val="Style25"/>
        <w:rPr/>
      </w:pPr>
      <w:r>
        <w:rPr/>
        <w:t>официального размещения итогового протокола по результатам закупки – всем Участникам, кроме Победителя;</w:t>
      </w:r>
    </w:p>
    <w:p>
      <w:pPr>
        <w:pStyle w:val="Style25"/>
        <w:rPr/>
      </w:pPr>
      <w:r>
        <w:rPr/>
        <w:t>заключения Договора по результатам закупки – Победителю, с которым заключен Договор;</w:t>
      </w:r>
    </w:p>
    <w:p>
      <w:pPr>
        <w:pStyle w:val="Style25"/>
        <w:rPr/>
      </w:pPr>
      <w:r>
        <w:rPr/>
        <w:t>признания закупки несостоявшейся – Участнику, которому обеспечение не было возвращено по иным основаниям.</w:t>
      </w:r>
    </w:p>
    <w:p>
      <w:pPr>
        <w:pStyle w:val="Style24"/>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3"/>
        <w:rPr/>
      </w:pPr>
      <w:bookmarkStart w:id="194" w:name="_Ref149317414"/>
      <w:bookmarkStart w:id="195" w:name="_Toc186224303"/>
      <w:bookmarkStart w:id="196" w:name="_Ref130225422"/>
      <w:r>
        <w:rPr/>
        <w:t>Особенности проведения многолотовой закупки</w:t>
      </w:r>
      <w:bookmarkEnd w:id="194"/>
      <w:bookmarkEnd w:id="195"/>
      <w:bookmarkEnd w:id="196"/>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4"/>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4"/>
        <w:keepNext w:val="true"/>
        <w:rPr/>
      </w:pPr>
      <w:r>
        <w:rPr/>
        <w:t>В случае подачи заявки на несколько лотов дополнительно должны быть соблюдены следующие требования:</w:t>
      </w:r>
    </w:p>
    <w:p>
      <w:pPr>
        <w:pStyle w:val="Style25"/>
        <w:rPr/>
      </w:pPr>
      <w:r>
        <w:rPr/>
        <w:t>Письмо о подаче оферты (форма 2) (</w:t>
      </w:r>
      <w:hyperlink w:anchor="Прил04_ФормыЗаявки">
        <w:r>
          <w:rPr>
            <w:rStyle w:val="Style13"/>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5"/>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3"/>
          </w:rPr>
          <w:t>Приложение № 4</w:t>
        </w:r>
      </w:hyperlink>
      <w:r>
        <w:rPr/>
        <w:t>, должны быть подготовлены отдельно по каждому из лотов с указанием номера и названия лота.</w:t>
      </w:r>
    </w:p>
    <w:p>
      <w:pPr>
        <w:pStyle w:val="Style24"/>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3"/>
        <w:rPr/>
      </w:pPr>
      <w:bookmarkStart w:id="197" w:name="_Ref125550863"/>
      <w:bookmarkStart w:id="198" w:name="_Toc186224304"/>
      <w:r>
        <w:rPr/>
        <w:t>Особенности проведения закупки с возможностью подачи альтернативных предложений</w:t>
      </w:r>
      <w:bookmarkEnd w:id="197"/>
      <w:bookmarkEnd w:id="198"/>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4"/>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4"/>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3"/>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4"/>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4"/>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31"/>
        <w:keepNext w:val="true"/>
        <w:rPr/>
      </w:pPr>
      <w:r>
        <w:rPr/>
        <w:t>[Дополнение (в случае проведения закупки с выбором нескольких победителей):]</w:t>
      </w:r>
    </w:p>
    <w:p>
      <w:pPr>
        <w:pStyle w:val="Style23"/>
        <w:rPr/>
      </w:pPr>
      <w:bookmarkStart w:id="199" w:name="_Ref125366312"/>
      <w:bookmarkStart w:id="200" w:name="_Toc186224305"/>
      <w:r>
        <w:rPr/>
        <w:t>Особенности проведения закупки с выбором нескольких победителей</w:t>
      </w:r>
      <w:bookmarkEnd w:id="199"/>
      <w:bookmarkEnd w:id="200"/>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Количество победителей, которое намерен определить Организатор по итогам проведения закупки в рамках одного лота, указано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keepNext w:val="true"/>
        <w:rPr/>
      </w:pPr>
      <w:r>
        <w:rPr/>
        <w:t>В случае намерения Организатора выбрать нескольких Победителей, может быть предусмотрен один из следующих механизмов:</w:t>
      </w:r>
    </w:p>
    <w:p>
      <w:pPr>
        <w:pStyle w:val="Style25"/>
        <w:rPr/>
      </w:pPr>
      <w:bookmarkStart w:id="201" w:name="_Ref125367291"/>
      <w:r>
        <w:rPr/>
        <w:t>выбор нескольких Победителей с целью распределения по частям общего объема потребности Заказчика между Победителями – в этом случае Участник вправе подать заявку как на весь объем лота, так и на его часть;</w:t>
      </w:r>
      <w:bookmarkEnd w:id="201"/>
    </w:p>
    <w:p>
      <w:pPr>
        <w:pStyle w:val="Style25"/>
        <w:rPr/>
      </w:pPr>
      <w:bookmarkStart w:id="202" w:name="_Ref125367298"/>
      <w:r>
        <w:rPr/>
        <w:t>выбор нескольких Победителей с целью заключения договоров на</w:t>
      </w:r>
      <w:r>
        <w:rPr>
          <w:lang w:val="en-US"/>
        </w:rPr>
        <w:t> </w:t>
      </w:r>
      <w:r>
        <w:rPr/>
        <w:t>одинаковый объем потребности с каждым из Победителей в целях последующего распределения фактического объема поставок продукции в ходе исполнения обязательств по заключенным договорам – в этом случае у Заказчика отсутствует обязанность произвести полную выборку продукции, указанную в договоре, заключаемом с каждым Победителем.</w:t>
      </w:r>
      <w:bookmarkEnd w:id="202"/>
    </w:p>
    <w:p>
      <w:pPr>
        <w:pStyle w:val="Style24"/>
        <w:rPr/>
      </w:pPr>
      <w:r>
        <w:rPr/>
        <w:t>Конкретный механизм выбора нескольких Победителей и правила распределения объемов продукции среди них установлены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r>
        <w:rPr/>
        <w:t xml:space="preserve">Заказчик вправе в одностороннем порядке расторгнуть заключенный договор с любым Победителем в случае ненадлежащего исполнения последним принятых на себя обязательств в соответствии с условиями </w:t>
      </w:r>
      <w:hyperlink w:anchor="Прил02_ПроектДоговора">
        <w:r>
          <w:rPr>
            <w:rStyle w:val="Style13"/>
          </w:rPr>
          <w:t>Проекта договора (Приложение № 2)</w:t>
        </w:r>
      </w:hyperlink>
      <w:r>
        <w:rPr/>
        <w:t>.</w:t>
      </w:r>
    </w:p>
    <w:p>
      <w:pPr>
        <w:pStyle w:val="Style24"/>
        <w:rPr/>
      </w:pPr>
      <w:r>
        <w:rPr/>
        <w:t>Порядок определения нескольких Победителей, установленный в подразделе </w:t>
      </w:r>
      <w:r>
        <w:rPr/>
        <w:fldChar w:fldCharType="begin"/>
      </w:r>
      <w:r>
        <w:rPr/>
        <w:instrText xml:space="preserve"> REF _Ref125359973 \r \h </w:instrText>
      </w:r>
      <w:r>
        <w:rPr/>
        <w:fldChar w:fldCharType="separate"/>
      </w:r>
      <w:r>
        <w:rPr/>
        <w:t>1.2</w:t>
      </w:r>
      <w:r>
        <w:rPr/>
        <w:fldChar w:fldCharType="end"/>
      </w:r>
      <w:r>
        <w:rPr/>
        <w:t>, является приоритетным по отношении к общему порядку определения Победителя, предусмотренному в подразделе </w:t>
      </w:r>
      <w:r>
        <w:rPr/>
        <w:fldChar w:fldCharType="begin"/>
      </w:r>
      <w:r>
        <w:rPr/>
        <w:instrText xml:space="preserve"> REF _Ref125367242 \w \h </w:instrText>
      </w:r>
      <w:r>
        <w:rPr/>
        <w:fldChar w:fldCharType="separate"/>
      </w:r>
      <w:r>
        <w:rPr/>
        <w:t>4.14</w:t>
      </w:r>
      <w:r>
        <w:rPr/>
        <w:fldChar w:fldCharType="end"/>
      </w:r>
      <w:r>
        <w:rPr/>
        <w:t>.</w:t>
      </w:r>
    </w:p>
    <w:p>
      <w:pPr>
        <w:pStyle w:val="Style31"/>
        <w:rPr/>
      </w:pPr>
      <w:r>
        <w:rPr/>
        <w:t>[Окончание дополнения]</w:t>
      </w:r>
    </w:p>
    <w:p>
      <w:pPr>
        <w:pStyle w:val="Style22"/>
        <w:rPr/>
      </w:pPr>
      <w:bookmarkStart w:id="203" w:name="_Ref126142429"/>
      <w:bookmarkStart w:id="204" w:name="_Ref130224037"/>
      <w:bookmarkStart w:id="205" w:name="_Toc186224306"/>
      <w:bookmarkStart w:id="206" w:name="_Ref125361212"/>
      <w:bookmarkStart w:id="207" w:name="_Ref125362671"/>
      <w:bookmarkStart w:id="208" w:name="_Ref125363439"/>
      <w:bookmarkStart w:id="209" w:name="_Ref125366769"/>
      <w:bookmarkStart w:id="210" w:name="_Ref125367083"/>
      <w:bookmarkStart w:id="211" w:name="_Ref125367087"/>
      <w:r>
        <w:rPr/>
        <w:t>Порядок заключения Договора</w:t>
      </w:r>
      <w:bookmarkEnd w:id="203"/>
      <w:bookmarkEnd w:id="204"/>
      <w:bookmarkEnd w:id="205"/>
      <w:bookmarkEnd w:id="206"/>
      <w:bookmarkEnd w:id="207"/>
      <w:bookmarkEnd w:id="208"/>
      <w:bookmarkEnd w:id="209"/>
      <w:bookmarkEnd w:id="210"/>
      <w:bookmarkEnd w:id="211"/>
    </w:p>
    <w:p>
      <w:pPr>
        <w:pStyle w:val="Style23"/>
        <w:rPr/>
      </w:pPr>
      <w:bookmarkStart w:id="212" w:name="_Ref139028625"/>
      <w:bookmarkStart w:id="213" w:name="_Toc186224307"/>
      <w:r>
        <w:rPr/>
        <w:t>Общие положения</w:t>
      </w:r>
      <w:bookmarkEnd w:id="212"/>
      <w:bookmarkEnd w:id="213"/>
    </w:p>
    <w:p>
      <w:pPr>
        <w:pStyle w:val="Style24"/>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4"/>
        <w:rPr/>
      </w:pPr>
      <w:r>
        <w:rP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pPr>
        <w:pStyle w:val="Style24"/>
        <w:rPr/>
      </w:pPr>
      <w:r>
        <w:rP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Style13"/>
          </w:rPr>
          <w:t>Приложение № 4</w:t>
        </w:r>
      </w:hyperlink>
      <w:r>
        <w:rPr/>
        <w:t>), и размещения соответствующей информации на ЭП.</w:t>
      </w:r>
    </w:p>
    <w:p>
      <w:pPr>
        <w:pStyle w:val="Style23"/>
        <w:rPr/>
      </w:pPr>
      <w:bookmarkStart w:id="214" w:name="_Ref138232981"/>
      <w:bookmarkStart w:id="215" w:name="_Toc186224308"/>
      <w:bookmarkStart w:id="216" w:name="_Ref125366947"/>
      <w:bookmarkStart w:id="217" w:name="_Ref125368755"/>
      <w:bookmarkStart w:id="218" w:name="_Ref135736094"/>
      <w:r>
        <w:rPr/>
        <w:t>Заключение Договора</w:t>
      </w:r>
      <w:bookmarkEnd w:id="214"/>
      <w:bookmarkEnd w:id="215"/>
      <w:bookmarkEnd w:id="216"/>
      <w:bookmarkEnd w:id="217"/>
      <w:bookmarkEnd w:id="218"/>
    </w:p>
    <w:p>
      <w:pPr>
        <w:pStyle w:val="Style24"/>
        <w:rPr/>
      </w:pPr>
      <w:bookmarkStart w:id="219" w:name="_Ref125362935"/>
      <w:bookmarkStart w:id="220" w:name="_Ref130293821"/>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19"/>
      <w:bookmarkEnd w:id="220"/>
    </w:p>
    <w:p>
      <w:pPr>
        <w:pStyle w:val="Style24"/>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4"/>
        <w:rPr/>
      </w:pPr>
      <w:bookmarkStart w:id="221"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3"/>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21"/>
    </w:p>
    <w:p>
      <w:pPr>
        <w:pStyle w:val="Style24"/>
        <w:keepNext w:val="true"/>
        <w:rPr/>
      </w:pPr>
      <w:bookmarkStart w:id="222"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22"/>
    </w:p>
    <w:p>
      <w:pPr>
        <w:pStyle w:val="Style25"/>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3"/>
          </w:rPr>
          <w:t>Приложением № 5</w:t>
        </w:r>
      </w:hyperlink>
      <w:r>
        <w:rPr/>
        <w:t>;</w:t>
      </w:r>
    </w:p>
    <w:p>
      <w:pPr>
        <w:pStyle w:val="Style25"/>
        <w:rPr/>
      </w:pPr>
      <w:bookmarkStart w:id="223"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23"/>
      <w:r>
        <w:rPr/>
        <w:t>.</w:t>
      </w:r>
    </w:p>
    <w:p>
      <w:pPr>
        <w:pStyle w:val="Style24"/>
        <w:keepNext w:val="true"/>
        <w:rPr/>
      </w:pPr>
      <w:bookmarkStart w:id="224"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3"/>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24"/>
    </w:p>
    <w:p>
      <w:pPr>
        <w:pStyle w:val="Style25"/>
        <w:keepNext w:val="true"/>
        <w:rPr/>
      </w:pPr>
      <w:r>
        <w:rPr/>
        <w:t>для юридического лица:</w:t>
      </w:r>
    </w:p>
    <w:p>
      <w:pPr>
        <w:pStyle w:val="Style26"/>
        <w:rPr/>
      </w:pPr>
      <w:r>
        <w:rPr/>
        <w:t>копия устава в действующей редакции с отметкой ИФНС либо копия нотариально заверенного устава (с отметкой нотариуса);</w:t>
      </w:r>
    </w:p>
    <w:p>
      <w:pPr>
        <w:pStyle w:val="Style26"/>
        <w:rPr/>
      </w:pPr>
      <w:bookmarkStart w:id="225"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25"/>
    </w:p>
    <w:p>
      <w:pPr>
        <w:pStyle w:val="Style26"/>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5"/>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5"/>
        <w:rPr/>
      </w:pPr>
      <w:r>
        <w:rPr/>
        <w:t>для физического лица: нотариально заверенная копия всех страниц документа, удостоверяющего личность (паспорта);</w:t>
      </w:r>
    </w:p>
    <w:p>
      <w:pPr>
        <w:pStyle w:val="Style25"/>
        <w:rPr/>
      </w:pPr>
      <w:bookmarkStart w:id="226"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26"/>
    </w:p>
    <w:p>
      <w:pPr>
        <w:pStyle w:val="Style24"/>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4"/>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4"/>
        <w:keepNext w:val="true"/>
        <w:rPr/>
      </w:pPr>
      <w:bookmarkStart w:id="227"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7"/>
    </w:p>
    <w:p>
      <w:pPr>
        <w:pStyle w:val="Style25"/>
        <w:rPr/>
      </w:pPr>
      <w:r>
        <w:rPr/>
        <w:t>протокол преддоговорных переговоров между Заказчиком и Победителем (при проведении таковых);</w:t>
      </w:r>
    </w:p>
    <w:p>
      <w:pPr>
        <w:pStyle w:val="Style25"/>
        <w:rPr/>
      </w:pPr>
      <w:r>
        <w:rPr/>
        <w:t>итоговый протокол по результатам закупки;</w:t>
      </w:r>
    </w:p>
    <w:p>
      <w:pPr>
        <w:pStyle w:val="Style25"/>
        <w:rPr/>
      </w:pPr>
      <w:r>
        <w:rPr/>
        <w:t>Извещение и Документация о закупке со всеми изменениями;</w:t>
      </w:r>
    </w:p>
    <w:p>
      <w:pPr>
        <w:pStyle w:val="Style25"/>
        <w:rPr/>
      </w:pPr>
      <w:r>
        <w:rPr/>
        <w:t>заявка Победителя со всеми дополнениями и разъяснениями.</w:t>
      </w:r>
    </w:p>
    <w:p>
      <w:pPr>
        <w:pStyle w:val="Style24"/>
        <w:rPr/>
      </w:pPr>
      <w:bookmarkStart w:id="228"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28"/>
    </w:p>
    <w:p>
      <w:pPr>
        <w:pStyle w:val="Style24"/>
        <w:keepNext w:val="true"/>
        <w:rPr/>
      </w:pPr>
      <w:r>
        <w:rPr/>
        <w:t>Если Договор заключается в электронной форме:</w:t>
      </w:r>
    </w:p>
    <w:p>
      <w:pPr>
        <w:pStyle w:val="Style25"/>
        <w:rPr/>
      </w:pPr>
      <w:bookmarkStart w:id="229"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29"/>
      <w:r>
        <w:rPr/>
        <w:t>;</w:t>
      </w:r>
    </w:p>
    <w:p>
      <w:pPr>
        <w:pStyle w:val="Style25"/>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4"/>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3"/>
        <w:rPr/>
      </w:pPr>
      <w:bookmarkStart w:id="230" w:name="_Ref125552570"/>
      <w:bookmarkStart w:id="231" w:name="_Toc186224309"/>
      <w:r>
        <w:rPr/>
        <w:t>Преддоговорные переговоры</w:t>
      </w:r>
      <w:bookmarkEnd w:id="230"/>
      <w:bookmarkEnd w:id="231"/>
    </w:p>
    <w:p>
      <w:pPr>
        <w:pStyle w:val="Style24"/>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5"/>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5"/>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5"/>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5"/>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5"/>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4"/>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4"/>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4"/>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4"/>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3"/>
        <w:rPr/>
      </w:pPr>
      <w:bookmarkStart w:id="232" w:name="_Ref125367068"/>
      <w:bookmarkStart w:id="233" w:name="_Toc186224310"/>
      <w:r>
        <w:rPr/>
        <w:t>Уклонение Победителя от заключения Договора</w:t>
      </w:r>
      <w:bookmarkEnd w:id="232"/>
      <w:bookmarkEnd w:id="233"/>
    </w:p>
    <w:p>
      <w:pPr>
        <w:pStyle w:val="Style24"/>
        <w:keepNext w:val="true"/>
        <w:rPr/>
      </w:pPr>
      <w:r>
        <w:rPr/>
        <w:t>Если Победитель закупки:</w:t>
      </w:r>
    </w:p>
    <w:p>
      <w:pPr>
        <w:pStyle w:val="Style25"/>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5"/>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5"/>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3"/>
          </w:rPr>
          <w:t>Приложение № 5</w:t>
        </w:r>
      </w:hyperlink>
      <w:r>
        <w:rPr/>
        <w:t>), с приложением подтверждающих документов;</w:t>
      </w:r>
    </w:p>
    <w:p>
      <w:pPr>
        <w:pStyle w:val="Style25"/>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3"/>
          </w:rPr>
          <w:t>Приложением № 5</w:t>
        </w:r>
      </w:hyperlink>
      <w:r>
        <w:rPr/>
        <w:t>;</w:t>
      </w:r>
    </w:p>
    <w:p>
      <w:pPr>
        <w:pStyle w:val="Style25"/>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5"/>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5"/>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3"/>
          </w:rPr>
          <w:t>Приложения № 1 – Технические требования</w:t>
        </w:r>
      </w:hyperlink>
      <w:r>
        <w:rPr/>
        <w:t xml:space="preserve"> (в случае установления таковых);</w:t>
      </w:r>
    </w:p>
    <w:p>
      <w:pPr>
        <w:pStyle w:val="Style25"/>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5"/>
        <w:rPr/>
      </w:pPr>
      <w:r>
        <w:rPr/>
        <w:t>не выполнит другие условия, прямо предусмотренные Документацией о закупке,</w:t>
      </w:r>
    </w:p>
    <w:p>
      <w:pPr>
        <w:pStyle w:val="Style28"/>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2"/>
        <w:rPr/>
      </w:pPr>
      <w:bookmarkStart w:id="234" w:name="_Ref125363023"/>
      <w:bookmarkStart w:id="235" w:name="_Ref125363034"/>
      <w:bookmarkStart w:id="236" w:name="_Ref125363600"/>
      <w:bookmarkStart w:id="237" w:name="_Ref125363752"/>
      <w:bookmarkStart w:id="238" w:name="_Ref125364088"/>
      <w:bookmarkStart w:id="239" w:name="_Ref125364201"/>
      <w:bookmarkStart w:id="240" w:name="_Ref125363016"/>
      <w:bookmarkStart w:id="241" w:name="_Ref125370732"/>
      <w:bookmarkStart w:id="242" w:name="_Ref125370741"/>
      <w:bookmarkStart w:id="243" w:name="_Ref125370746"/>
      <w:bookmarkStart w:id="244" w:name="_Ref125370750"/>
      <w:bookmarkStart w:id="245" w:name="_Ref125370843"/>
      <w:bookmarkStart w:id="246" w:name="Прил01_ТехТребования"/>
      <w:bookmarkStart w:id="247" w:name="_Toc186224311"/>
      <w:r>
        <w:rPr/>
        <w:t>Приложение № 1 – Технические требования</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pStyle w:val="Style23"/>
        <w:rPr/>
      </w:pPr>
      <w:bookmarkStart w:id="248" w:name="_Toc186224312"/>
      <w:r>
        <w:rPr/>
        <w:t>Пояснения к Техническим требованиям</w:t>
      </w:r>
      <w:bookmarkEnd w:id="248"/>
    </w:p>
    <w:p>
      <w:pPr>
        <w:pStyle w:val="Style24"/>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2"/>
        <w:rPr/>
      </w:pPr>
      <w:bookmarkStart w:id="249" w:name="_Ref125363040"/>
      <w:bookmarkStart w:id="250" w:name="_Ref125363605"/>
      <w:bookmarkStart w:id="251" w:name="_Ref125363759"/>
      <w:bookmarkStart w:id="252" w:name="_Ref125364081"/>
      <w:bookmarkStart w:id="253" w:name="_Toc186224313"/>
      <w:bookmarkStart w:id="254" w:name="_Ref125364206"/>
      <w:bookmarkStart w:id="255" w:name="_Ref125361746"/>
      <w:bookmarkStart w:id="256" w:name="Прил02_ПроектДоговора"/>
      <w:bookmarkStart w:id="257" w:name="_Ref125370754"/>
      <w:r>
        <w:rPr/>
        <w:t>Приложение № 2 – Проект договора</w:t>
      </w:r>
      <w:bookmarkEnd w:id="249"/>
      <w:bookmarkEnd w:id="250"/>
      <w:bookmarkEnd w:id="251"/>
      <w:bookmarkEnd w:id="252"/>
      <w:bookmarkEnd w:id="253"/>
      <w:bookmarkEnd w:id="254"/>
      <w:bookmarkEnd w:id="255"/>
      <w:bookmarkEnd w:id="256"/>
      <w:bookmarkEnd w:id="257"/>
    </w:p>
    <w:p>
      <w:pPr>
        <w:pStyle w:val="Style23"/>
        <w:rPr/>
      </w:pPr>
      <w:bookmarkStart w:id="258" w:name="_Toc186224314"/>
      <w:r>
        <w:rPr/>
        <w:t>Пояснения к Проекту договора</w:t>
      </w:r>
      <w:bookmarkEnd w:id="258"/>
    </w:p>
    <w:p>
      <w:pPr>
        <w:pStyle w:val="Style24"/>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4"/>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59" w:name="_Hlk132883778"/>
      <w:r>
        <w:rPr/>
        <w:t>как «Некритичные пункты Проекта договора»</w:t>
      </w:r>
      <w:bookmarkEnd w:id="259"/>
      <w:r>
        <w:rPr/>
        <w:t>.</w:t>
      </w:r>
    </w:p>
    <w:p>
      <w:pPr>
        <w:pStyle w:val="Style24"/>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4"/>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60" w:name="_MON_1736255517"/>
      <w:bookmarkEnd w:id="260"/>
    </w:p>
    <w:p>
      <w:pPr>
        <w:sectPr>
          <w:headerReference w:type="default" r:id="rId14"/>
          <w:headerReference w:type="first" r:id="rId15"/>
          <w:footerReference w:type="default" r:id="rId16"/>
          <w:footerReference w:type="first" r:id="rId1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8"/>
        <w:jc w:val="center"/>
        <w:rPr/>
      </w:pPr>
      <w:r>
        <w:rPr/>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8.75pt;height:50.25pt;mso-wrap-distance-right:0pt" filled="f" o:ole="">
            <v:imagedata r:id="rId13" o:title=""/>
          </v:shape>
          <o:OLEObject Type="Embed" ProgID="Word.Document.12" ShapeID="ole_rId12" DrawAspect="Icon" ObjectID="_1934556427" r:id="rId12"/>
        </w:object>
      </w:r>
    </w:p>
    <w:p>
      <w:pPr>
        <w:pStyle w:val="Style22"/>
        <w:rPr/>
      </w:pPr>
      <w:bookmarkStart w:id="261" w:name="_Ref125361494"/>
      <w:bookmarkStart w:id="262" w:name="_Ref125361908"/>
      <w:bookmarkStart w:id="263" w:name="_Ref125365476"/>
      <w:bookmarkStart w:id="264" w:name="_Ref125370013"/>
      <w:bookmarkStart w:id="265" w:name="Прил03_ТребованияУчастникам"/>
      <w:bookmarkStart w:id="266" w:name="_Toc186224315"/>
      <w:r>
        <w:rPr/>
        <w:t>Приложение № 3 – Требования к Участникам</w:t>
      </w:r>
      <w:bookmarkEnd w:id="261"/>
      <w:bookmarkEnd w:id="262"/>
      <w:bookmarkEnd w:id="263"/>
      <w:bookmarkEnd w:id="264"/>
      <w:bookmarkEnd w:id="265"/>
      <w:bookmarkEnd w:id="266"/>
    </w:p>
    <w:p>
      <w:pPr>
        <w:pStyle w:val="Style23"/>
        <w:rPr/>
      </w:pPr>
      <w:bookmarkStart w:id="267" w:name="_Toc186224316"/>
      <w:r>
        <w:rPr/>
        <w:t>Пояснения к требованиям к Участникам</w:t>
      </w:r>
      <w:bookmarkEnd w:id="267"/>
    </w:p>
    <w:p>
      <w:pPr>
        <w:pStyle w:val="Style24"/>
        <w:rPr/>
      </w:pPr>
      <w:bookmarkStart w:id="268"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68"/>
    </w:p>
    <w:p>
      <w:pPr>
        <w:pStyle w:val="Style23"/>
        <w:spacing w:before="360" w:after="120"/>
        <w:rPr/>
      </w:pPr>
      <w:bookmarkStart w:id="269" w:name="_Ref125361435"/>
      <w:bookmarkStart w:id="270" w:name="_Ref125361590"/>
      <w:bookmarkStart w:id="271" w:name="_Ref125361617"/>
      <w:bookmarkStart w:id="272" w:name="_Ref125361832"/>
      <w:bookmarkStart w:id="273" w:name="_Ref125361846"/>
      <w:bookmarkStart w:id="274" w:name="_Ref125361926"/>
      <w:bookmarkStart w:id="275" w:name="_Ref125366879"/>
      <w:bookmarkStart w:id="276" w:name="_Toc186224317"/>
      <w:bookmarkStart w:id="277" w:name="_Ref125368812"/>
      <w:bookmarkStart w:id="278" w:name="_Ref125368895"/>
      <w:bookmarkStart w:id="279" w:name="_Ref125369088"/>
      <w:bookmarkStart w:id="280" w:name="_Ref125370058"/>
      <w:bookmarkStart w:id="281" w:name="_Ref125370064"/>
      <w:bookmarkStart w:id="282" w:name="_Ref125370071"/>
      <w:r>
        <w:rPr/>
        <w:t>Обязательные требования</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3" w:name="_Ref125552433"/>
            <w:bookmarkStart w:id="284" w:name="_Ref125552433"/>
            <w:bookmarkEnd w:id="284"/>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28"/>
              <w:widowControl w:val="false"/>
              <w:numPr>
                <w:ilvl w:val="0"/>
                <w:numId w:val="14"/>
              </w:numPr>
              <w:suppressAutoHyphens w:val="true"/>
              <w:spacing w:before="60" w:after="60"/>
              <w:ind w:left="568" w:hanging="284"/>
              <w:rPr>
                <w:rFonts w:ascii="Times New Roman" w:hAnsi="Times New Roman" w:eastAsia="Calibri" w:cs=""/>
                <w:kern w:val="0"/>
                <w:sz w:val="26"/>
                <w:szCs w:val="22"/>
                <w:lang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3"/>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3"/>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5" w:name="_Ref139028406"/>
            <w:bookmarkStart w:id="286" w:name="_Ref139028406"/>
            <w:bookmarkEnd w:id="286"/>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7" w:name="_Ref186128496"/>
            <w:bookmarkStart w:id="288" w:name="_Ref186128496"/>
            <w:bookmarkEnd w:id="288"/>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9" w:name="_Ref186128503"/>
            <w:bookmarkStart w:id="290" w:name="_Ref186128503"/>
            <w:bookmarkEnd w:id="290"/>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3"/>
        <w:spacing w:before="360" w:after="120"/>
        <w:rPr/>
      </w:pPr>
      <w:bookmarkStart w:id="291" w:name="_Ref125361442"/>
      <w:bookmarkStart w:id="292" w:name="_Ref125361633"/>
      <w:bookmarkStart w:id="293" w:name="_Ref125361671"/>
      <w:bookmarkStart w:id="294" w:name="_Ref125361869"/>
      <w:bookmarkStart w:id="295" w:name="_Ref125361937"/>
      <w:bookmarkStart w:id="296" w:name="_Ref125365459"/>
      <w:bookmarkStart w:id="297" w:name="_Ref125367521"/>
      <w:bookmarkStart w:id="298" w:name="_Ref125367539"/>
      <w:bookmarkStart w:id="299" w:name="_Ref125368818"/>
      <w:bookmarkStart w:id="300" w:name="_Ref125368901"/>
      <w:bookmarkStart w:id="301" w:name="_Ref125368916"/>
      <w:bookmarkStart w:id="302" w:name="_Ref125370079"/>
      <w:bookmarkStart w:id="303" w:name="_Ref125369099"/>
      <w:bookmarkStart w:id="304" w:name="_Ref125709153"/>
      <w:bookmarkStart w:id="305" w:name="_Ref125709250"/>
      <w:bookmarkStart w:id="306" w:name="_Ref125709401"/>
      <w:bookmarkStart w:id="307" w:name="_Toc186224318"/>
      <w:bookmarkStart w:id="308" w:name="_Ref125709888"/>
      <w:r>
        <w:rPr/>
        <w:t>Специальные требования</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bl>
    <w:p>
      <w:pPr>
        <w:pStyle w:val="Style23"/>
        <w:spacing w:before="360" w:after="120"/>
        <w:rPr/>
      </w:pPr>
      <w:bookmarkStart w:id="309" w:name="_Ref125553681"/>
      <w:bookmarkStart w:id="310" w:name="_Ref125709154"/>
      <w:bookmarkStart w:id="311" w:name="_Ref125709256"/>
      <w:bookmarkStart w:id="312" w:name="_Ref125709541"/>
      <w:bookmarkStart w:id="313" w:name="_Ref125709895"/>
      <w:bookmarkStart w:id="314" w:name="_Toc186224319"/>
      <w:bookmarkStart w:id="315" w:name="_Ref125550270"/>
      <w:bookmarkStart w:id="316" w:name="_Ref125550353"/>
      <w:bookmarkStart w:id="317" w:name="_Ref125553242"/>
      <w:bookmarkStart w:id="318" w:name="_Ref125553296"/>
      <w:bookmarkStart w:id="319" w:name="_Ref125553475"/>
      <w:r>
        <w:rPr/>
        <w:t>Квалификационные требования</w:t>
      </w:r>
      <w:bookmarkEnd w:id="309"/>
      <w:bookmarkEnd w:id="310"/>
      <w:bookmarkEnd w:id="311"/>
      <w:bookmarkEnd w:id="312"/>
      <w:bookmarkEnd w:id="313"/>
      <w:bookmarkEnd w:id="314"/>
      <w:bookmarkEnd w:id="315"/>
      <w:bookmarkEnd w:id="316"/>
      <w:bookmarkEnd w:id="317"/>
      <w:bookmarkEnd w:id="318"/>
      <w:bookmarkEnd w:id="319"/>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10"/>
              </w:numPr>
              <w:suppressAutoHyphens w:val="true"/>
              <w:spacing w:before="60" w:after="60"/>
              <w:ind w:left="284" w:hanging="0"/>
              <w:jc w:val="center"/>
              <w:rPr/>
            </w:pPr>
            <w:r>
              <w:rPr/>
            </w:r>
          </w:p>
        </w:tc>
        <w:tc>
          <w:tcPr>
            <w:tcW w:w="5671" w:type="dxa"/>
            <w:tcBorders/>
          </w:tcPr>
          <w:p>
            <w:pPr>
              <w:pStyle w:val="Normal"/>
              <w:widowControl w:val="false"/>
              <w:spacing w:before="60" w:after="0"/>
              <w:jc w:val="both"/>
              <w:rPr>
                <w:rFonts w:ascii="Times New Roman" w:hAnsi="Times New Roman" w:eastAsia="Calibri" w:cs="" w:cstheme="minorBidi" w:eastAsiaTheme="minorHAnsi"/>
                <w:color w:val="auto"/>
                <w:kern w:val="0"/>
                <w:sz w:val="24"/>
                <w:szCs w:val="24"/>
                <w:lang w:val="en-US" w:eastAsia="en-US" w:bidi="ar-SA"/>
              </w:rPr>
            </w:pPr>
            <w:r>
              <w:rPr>
                <w:rFonts w:eastAsia="Calibri" w:cs="" w:cstheme="minorBidi" w:eastAsiaTheme="minorHAnsi"/>
                <w:color w:val="auto"/>
                <w:kern w:val="0"/>
                <w:sz w:val="24"/>
                <w:szCs w:val="24"/>
                <w:lang w:val="en-US" w:eastAsia="en-US" w:bidi="ar-SA"/>
              </w:rPr>
              <w:t>Требования к наличию опыта:</w:t>
            </w:r>
          </w:p>
          <w:p>
            <w:pPr>
              <w:pStyle w:val="Normal"/>
              <w:widowControl w:val="false"/>
              <w:tabs>
                <w:tab w:val="clear" w:pos="720"/>
                <w:tab w:val="left" w:pos="426" w:leader="none"/>
              </w:tabs>
              <w:spacing w:before="120" w:after="120"/>
              <w:jc w:val="both"/>
              <w:rPr>
                <w:rFonts w:ascii="Times New Roman" w:hAnsi="Times New Roman" w:eastAsia="Calibri" w:cs="" w:cstheme="minorBidi" w:eastAsiaTheme="minorHAnsi"/>
                <w:color w:val="auto"/>
                <w:kern w:val="0"/>
                <w:sz w:val="24"/>
                <w:szCs w:val="24"/>
                <w:lang w:val="en-US" w:eastAsia="en-US" w:bidi="ar-SA"/>
              </w:rPr>
            </w:pPr>
            <w:r>
              <w:rPr>
                <w:rFonts w:eastAsia="Calibri" w:cs="" w:cstheme="minorBidi" w:eastAsiaTheme="minorHAnsi"/>
                <w:color w:val="auto"/>
                <w:kern w:val="0"/>
                <w:sz w:val="24"/>
                <w:szCs w:val="24"/>
                <w:lang w:val="en-US" w:eastAsia="en-US" w:bidi="ar-SA"/>
              </w:rPr>
              <w:t xml:space="preserve">Участнику закупки в качестве повышения предпочтительности своей заявки рекомендуется предоставить сведения для оценки Участника по неценовому критерию: наличие опыта поставки, соответствующих профилю лота, </w:t>
            </w:r>
            <w:r>
              <w:rPr>
                <w:rFonts w:eastAsia="Calibri" w:cs=""/>
                <w:color w:val="000000" w:themeColor="text1"/>
                <w:kern w:val="0"/>
                <w:sz w:val="24"/>
                <w:szCs w:val="24"/>
                <w:lang w:val="en-US" w:eastAsia="en-US" w:bidi="ar-SA"/>
              </w:rPr>
              <w:t xml:space="preserve">а именно: </w:t>
            </w:r>
            <w:r>
              <w:rPr>
                <w:rFonts w:eastAsia="Calibri" w:cs=""/>
                <w:i/>
                <w:iCs/>
                <w:color w:val="000000" w:themeColor="text1"/>
                <w:kern w:val="0"/>
                <w:sz w:val="24"/>
                <w:szCs w:val="24"/>
                <w:lang w:val="en-US" w:eastAsia="en-US" w:bidi="ar-SA"/>
              </w:rPr>
              <w:t>поставки виброанализатора</w:t>
            </w:r>
            <w:r>
              <w:rPr>
                <w:rFonts w:eastAsia="Calibri" w:cs="" w:cstheme="minorBidi" w:eastAsiaTheme="minorHAnsi"/>
                <w:i/>
                <w:color w:val="auto"/>
                <w:kern w:val="0"/>
                <w:sz w:val="24"/>
                <w:szCs w:val="24"/>
                <w:lang w:val="en-US" w:eastAsia="x-none" w:bidi="ar-SA"/>
              </w:rPr>
              <w:t>,</w:t>
            </w:r>
            <w:r>
              <w:rPr>
                <w:rFonts w:eastAsia="Calibri" w:cs="" w:cstheme="minorBidi" w:eastAsiaTheme="minorHAnsi"/>
                <w:color w:val="auto"/>
                <w:kern w:val="0"/>
                <w:sz w:val="24"/>
                <w:szCs w:val="24"/>
                <w:lang w:val="en-US" w:eastAsia="x-none" w:bidi="ar-SA"/>
              </w:rPr>
              <w:t xml:space="preserve"> </w:t>
            </w:r>
            <w:r>
              <w:rPr>
                <w:rFonts w:eastAsia="Calibri" w:cs="" w:cstheme="minorBidi" w:eastAsiaTheme="minorHAnsi"/>
                <w:color w:val="auto"/>
                <w:kern w:val="0"/>
                <w:sz w:val="24"/>
                <w:szCs w:val="24"/>
                <w:lang w:val="en-US" w:eastAsia="en-US" w:bidi="ar-SA"/>
              </w:rPr>
              <w:t xml:space="preserve"> </w:t>
            </w:r>
            <w:bookmarkStart w:id="320" w:name="_GoBack"/>
            <w:bookmarkEnd w:id="320"/>
            <w:r>
              <w:rPr>
                <w:rFonts w:eastAsia="Calibri" w:cs="" w:cstheme="minorBidi" w:eastAsiaTheme="minorHAnsi"/>
                <w:color w:val="auto"/>
                <w:kern w:val="0"/>
                <w:sz w:val="24"/>
                <w:szCs w:val="24"/>
                <w:lang w:val="en-US" w:eastAsia="en-US" w:bidi="ar-SA"/>
              </w:rPr>
              <w:t xml:space="preserve">при этом участником должны быть исполнены обязательства в общем (совокупном) объеме не менее 50 % от НМЦ за последние 5 лет, предшествующих дате подачи заявок. </w:t>
            </w:r>
          </w:p>
        </w:tc>
        <w:tc>
          <w:tcPr>
            <w:tcW w:w="8327" w:type="dxa"/>
            <w:tcBorders/>
          </w:tcPr>
          <w:p>
            <w:pPr>
              <w:pStyle w:val="Normal"/>
              <w:widowControl w:val="false"/>
              <w:spacing w:before="0" w:after="60"/>
              <w:rPr>
                <w:rFonts w:eastAsia="Calibri"/>
                <w:iCs/>
                <w:sz w:val="24"/>
                <w:szCs w:val="24"/>
                <w:lang w:eastAsia="en-US"/>
              </w:rPr>
            </w:pPr>
            <w:r>
              <w:rPr>
                <w:rFonts w:eastAsia="Calibri"/>
                <w:iCs/>
                <w:sz w:val="24"/>
                <w:szCs w:val="24"/>
                <w:lang w:eastAsia="en-US"/>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pPr>
              <w:pStyle w:val="Normal"/>
              <w:widowControl w:val="false"/>
              <w:numPr>
                <w:ilvl w:val="0"/>
                <w:numId w:val="0"/>
              </w:numPr>
              <w:spacing w:before="0" w:after="60"/>
              <w:ind w:left="312" w:hanging="0"/>
              <w:contextualSpacing/>
              <w:jc w:val="both"/>
              <w:rPr>
                <w:rFonts w:eastAsia="Calibri"/>
                <w:iCs/>
                <w:sz w:val="24"/>
                <w:szCs w:val="24"/>
                <w:lang w:eastAsia="en-US"/>
              </w:rPr>
            </w:pPr>
            <w:r>
              <w:rPr>
                <w:rFonts w:eastAsia="Calibri"/>
                <w:iCs/>
                <w:sz w:val="24"/>
                <w:szCs w:val="24"/>
                <w:lang w:eastAsia="en-US"/>
              </w:rPr>
              <w:t>- копии договоров, подписанных с обеих сторон;</w:t>
            </w:r>
          </w:p>
          <w:p>
            <w:pPr>
              <w:pStyle w:val="Normal"/>
              <w:widowControl w:val="false"/>
              <w:numPr>
                <w:ilvl w:val="0"/>
                <w:numId w:val="0"/>
              </w:numPr>
              <w:spacing w:before="0" w:after="60"/>
              <w:ind w:left="312" w:hanging="0"/>
              <w:contextualSpacing/>
              <w:rPr>
                <w:rFonts w:eastAsia="Calibri"/>
                <w:iCs/>
                <w:sz w:val="24"/>
                <w:szCs w:val="24"/>
                <w:lang w:eastAsia="en-US"/>
              </w:rPr>
            </w:pPr>
            <w:r>
              <w:rPr>
                <w:rFonts w:eastAsia="Calibri"/>
                <w:iCs/>
                <w:sz w:val="24"/>
                <w:szCs w:val="24"/>
                <w:lang w:eastAsia="en-US"/>
              </w:rPr>
              <w:t>- копии товарных накладных по форме ТОРГ-12 или УПД (Универсальный передаточный документ), подписанных с обеих сторон.</w:t>
            </w:r>
          </w:p>
          <w:p>
            <w:pPr>
              <w:pStyle w:val="Normal"/>
              <w:widowControl w:val="false"/>
              <w:spacing w:before="0" w:after="60"/>
              <w:ind w:left="28" w:hanging="0"/>
              <w:jc w:val="both"/>
              <w:rPr>
                <w:i/>
                <w:i/>
                <w:iCs/>
                <w:sz w:val="22"/>
                <w:szCs w:val="22"/>
                <w:shd w:fill="FFFF99" w:val="clear"/>
                <w:lang w:eastAsia="en-US"/>
              </w:rPr>
            </w:pPr>
            <w:r>
              <w:rPr>
                <w:rFonts w:eastAsia="Calibri" w:cs=""/>
                <w:iCs/>
                <w:kern w:val="0"/>
                <w:sz w:val="24"/>
                <w:szCs w:val="24"/>
                <w:lang w:val="en-US" w:eastAsia="en-US" w:bidi="ar-SA"/>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tc>
      </w:tr>
    </w:tbl>
    <w:p>
      <w:pPr>
        <w:pStyle w:val="Style23"/>
        <w:spacing w:before="360" w:after="120"/>
        <w:rPr/>
      </w:pPr>
      <w:bookmarkStart w:id="321" w:name="_Ref125552455"/>
      <w:bookmarkStart w:id="322" w:name="_Ref125553500"/>
      <w:bookmarkStart w:id="323" w:name="_Ref125553692"/>
      <w:bookmarkStart w:id="324" w:name="_Ref125553703"/>
      <w:bookmarkStart w:id="325" w:name="_Ref125709228"/>
      <w:bookmarkStart w:id="326" w:name="_Toc186224320"/>
      <w:r>
        <w:rPr/>
        <w:t>Дополнительные требования к Коллективным участникам</w:t>
      </w:r>
      <w:bookmarkEnd w:id="321"/>
      <w:bookmarkEnd w:id="322"/>
      <w:bookmarkEnd w:id="323"/>
      <w:bookmarkEnd w:id="324"/>
      <w:bookmarkEnd w:id="325"/>
      <w:bookmarkEnd w:id="326"/>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7" w:name="_Ref125370156"/>
            <w:bookmarkStart w:id="328" w:name="_Ref125370156"/>
            <w:bookmarkEnd w:id="328"/>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9" w:name="_Ref125553738"/>
            <w:bookmarkStart w:id="330" w:name="_Ref125553738"/>
            <w:bookmarkEnd w:id="330"/>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1" w:name="_Ref125370162"/>
            <w:bookmarkStart w:id="332" w:name="_Ref125370162"/>
            <w:bookmarkEnd w:id="332"/>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3"/>
        <w:spacing w:before="360" w:after="120"/>
        <w:rPr/>
      </w:pPr>
      <w:bookmarkStart w:id="333" w:name="_Ref125361823"/>
      <w:bookmarkStart w:id="334" w:name="_Ref125362031"/>
      <w:bookmarkStart w:id="335" w:name="_Ref125369117"/>
      <w:bookmarkStart w:id="336" w:name="_Ref125370173"/>
      <w:bookmarkStart w:id="337" w:name="_Ref125370180"/>
      <w:bookmarkStart w:id="338" w:name="_Ref125370209"/>
      <w:bookmarkStart w:id="339" w:name="_Ref125709777"/>
      <w:bookmarkStart w:id="340" w:name="_Ref125709973"/>
      <w:bookmarkStart w:id="341" w:name="_Toc186224321"/>
      <w:r>
        <w:rPr/>
        <w:t>Дополнительные требования к Генеральным подрядчикам</w:t>
      </w:r>
      <w:bookmarkEnd w:id="333"/>
      <w:bookmarkEnd w:id="334"/>
      <w:bookmarkEnd w:id="335"/>
      <w:bookmarkEnd w:id="336"/>
      <w:bookmarkEnd w:id="337"/>
      <w:bookmarkEnd w:id="338"/>
      <w:bookmarkEnd w:id="339"/>
      <w:bookmarkEnd w:id="340"/>
      <w:bookmarkEnd w:id="341"/>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2" w:name="_Ref125370187"/>
            <w:bookmarkStart w:id="343" w:name="_Ref125370187"/>
            <w:bookmarkEnd w:id="343"/>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4" w:name="_Ref125370199"/>
            <w:bookmarkStart w:id="345" w:name="_Ref125370199"/>
            <w:bookmarkEnd w:id="345"/>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28"/>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осведомлен о привлечении его в качестве субподрядчика;</w:t>
            </w:r>
          </w:p>
          <w:p>
            <w:pPr>
              <w:pStyle w:val="Style28"/>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6" w:name="_Ref125370193"/>
            <w:bookmarkStart w:id="347" w:name="_Ref125370193"/>
            <w:bookmarkEnd w:id="347"/>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8" w:name="_Ref125553847"/>
            <w:bookmarkStart w:id="349" w:name="_Ref125553847"/>
            <w:bookmarkEnd w:id="349"/>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bl>
    <w:p>
      <w:pPr>
        <w:sectPr>
          <w:headerReference w:type="default" r:id="rId18"/>
          <w:headerReference w:type="first" r:id="rId19"/>
          <w:footerReference w:type="default" r:id="rId20"/>
          <w:footerReference w:type="first" r:id="rId2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2"/>
        <w:rPr/>
      </w:pPr>
      <w:bookmarkStart w:id="350" w:name="_Toc186224322"/>
      <w:bookmarkStart w:id="351" w:name="Прил04_ФормыЗаявки"/>
      <w:bookmarkEnd w:id="351"/>
      <w:r>
        <w:rPr/>
        <w:t>Приложение № 4 – Образцы форм документов, включаемых в состав заявки</w:t>
      </w:r>
      <w:bookmarkEnd w:id="350"/>
    </w:p>
    <w:p>
      <w:pPr>
        <w:pStyle w:val="Style23"/>
        <w:rPr/>
      </w:pPr>
      <w:bookmarkStart w:id="352" w:name="_Toc186224323"/>
      <w:r>
        <w:rPr/>
        <w:t>Пояснения к Образцам форм документов, включаемых в состав заявки</w:t>
      </w:r>
      <w:bookmarkEnd w:id="352"/>
    </w:p>
    <w:p>
      <w:pPr>
        <w:pStyle w:val="Style24"/>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2"/>
        <w:rPr/>
      </w:pPr>
      <w:bookmarkStart w:id="353" w:name="Прил05_ФормыПобедителя"/>
      <w:bookmarkStart w:id="354" w:name="_Toc186224324"/>
      <w:bookmarkEnd w:id="353"/>
      <w:r>
        <w:rPr/>
        <w:t>Приложение № 5 – Образцы форм документов, предоставляемых Победителем</w:t>
      </w:r>
      <w:bookmarkEnd w:id="354"/>
    </w:p>
    <w:p>
      <w:pPr>
        <w:pStyle w:val="Style23"/>
        <w:rPr/>
      </w:pPr>
      <w:bookmarkStart w:id="355" w:name="_Toc186224325"/>
      <w:r>
        <w:rPr/>
        <w:t>Пояснения к Образцам форм документов, предоставляемых Победителем</w:t>
      </w:r>
      <w:bookmarkEnd w:id="355"/>
    </w:p>
    <w:p>
      <w:pPr>
        <w:pStyle w:val="Style24"/>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3"/>
        <w:rPr/>
      </w:pPr>
      <w:bookmarkStart w:id="356" w:name="_Ref130395470"/>
      <w:bookmarkStart w:id="357" w:name="_Toc186224326"/>
      <w:r>
        <w:rPr/>
        <w:t>Форма справки «Сведения о цепочке собственников, включая бенефициаров (в том числе конечных)»</w:t>
      </w:r>
      <w:bookmarkEnd w:id="356"/>
      <w:bookmarkEnd w:id="357"/>
    </w:p>
    <w:p>
      <w:pPr>
        <w:pStyle w:val="Style24"/>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4"/>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58" w:name="_MON_1741074142"/>
    </w:p>
    <w:p>
      <w:pPr>
        <w:pStyle w:val="Style28"/>
        <w:jc w:val="center"/>
        <w:rPr/>
      </w:pPr>
      <w:bookmarkEnd w:id="358"/>
      <w:r>
        <w:rPr/>
        <w:object>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78.75pt;height:50.25pt;mso-wrap-distance-right:0pt" filled="f" o:ole="">
            <v:imagedata r:id="rId23" o:title=""/>
          </v:shape>
          <o:OLEObject Type="Embed" ProgID="Word.Document.12" ShapeID="ole_rId22" DrawAspect="Icon" ObjectID="_576945726" r:id="rId22"/>
        </w:object>
      </w:r>
    </w:p>
    <w:p>
      <w:pPr>
        <w:pStyle w:val="Style23"/>
        <w:rPr/>
      </w:pPr>
      <w:bookmarkStart w:id="359" w:name="_Ref130395475"/>
      <w:bookmarkStart w:id="360" w:name="_Toc186224327"/>
      <w:r>
        <w:rPr/>
        <w:t>Форма «Заверение об обстоятельствах»</w:t>
      </w:r>
      <w:bookmarkEnd w:id="359"/>
      <w:bookmarkEnd w:id="360"/>
    </w:p>
    <w:p>
      <w:pPr>
        <w:pStyle w:val="Style24"/>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4"/>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4"/>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4"/>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61" w:name="_MON_1741074184"/>
    </w:p>
    <w:p>
      <w:pPr>
        <w:pStyle w:val="Style28"/>
        <w:spacing w:before="120" w:after="120"/>
        <w:jc w:val="center"/>
        <w:rPr/>
      </w:pPr>
      <w:bookmarkEnd w:id="361"/>
      <w:r>
        <w:rPr/>
        <w:object>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78.75pt;height:50.25pt;mso-wrap-distance-right:0pt;mso-wrap-distance-bottom:6pt" filled="f" o:ole="">
            <v:imagedata r:id="rId25" o:title=""/>
          </v:shape>
          <o:OLEObject Type="Embed" ProgID="Word.Document.12" ShapeID="ole_rId24" DrawAspect="Icon" ObjectID="_533987273" r:id="rId24"/>
        </w:object>
      </w:r>
    </w:p>
    <w:p>
      <w:pPr>
        <w:pStyle w:val="Style22"/>
        <w:rPr/>
      </w:pPr>
      <w:bookmarkStart w:id="362" w:name="_Toc186224328"/>
      <w:bookmarkStart w:id="363" w:name="_Ref125362865"/>
      <w:bookmarkStart w:id="364" w:name="_Ref125362900"/>
      <w:bookmarkStart w:id="365" w:name="Прил06_СоставЗаявки"/>
      <w:bookmarkEnd w:id="365"/>
      <w:r>
        <w:rPr/>
        <w:t>Приложение № 6 – Состав заявки</w:t>
      </w:r>
      <w:bookmarkEnd w:id="362"/>
      <w:bookmarkEnd w:id="363"/>
      <w:bookmarkEnd w:id="364"/>
    </w:p>
    <w:p>
      <w:pPr>
        <w:pStyle w:val="Style23"/>
        <w:rPr/>
      </w:pPr>
      <w:bookmarkStart w:id="366" w:name="_Toc186224329"/>
      <w:r>
        <w:rPr/>
        <w:t>Состав заявки</w:t>
      </w:r>
      <w:bookmarkEnd w:id="366"/>
    </w:p>
    <w:p>
      <w:pPr>
        <w:pStyle w:val="Style24"/>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3"/>
          </w:rPr>
          <w:t>Приложении № 4</w:t>
        </w:r>
      </w:hyperlink>
      <w:r>
        <w:rPr/>
        <w:t>):</w:t>
      </w:r>
    </w:p>
    <w:tbl>
      <w:tblPr>
        <w:tblStyle w:val="af5"/>
        <w:tblW w:w="8783" w:type="dxa"/>
        <w:jc w:val="left"/>
        <w:tblInd w:w="1129" w:type="dxa"/>
        <w:tblLayout w:type="fixed"/>
        <w:tblCellMar>
          <w:top w:w="0" w:type="dxa"/>
          <w:left w:w="57" w:type="dxa"/>
          <w:bottom w:w="0" w:type="dxa"/>
          <w:right w:w="57" w:type="dxa"/>
        </w:tblCellMar>
        <w:tblLook w:val="04a0" w:noHBand="0" w:noVBand="1" w:firstColumn="1" w:lastRow="0" w:lastColumn="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3"/>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Календарный график (форма 5);</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7" w:name="_Ref130389408"/>
            <w:bookmarkStart w:id="368" w:name="_Ref130389408"/>
            <w:bookmarkEnd w:id="368"/>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9" w:name="_Ref130389413"/>
            <w:bookmarkStart w:id="370" w:name="_Ref130389413"/>
            <w:bookmarkEnd w:id="370"/>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1" w:name="_Ref130389419"/>
            <w:bookmarkStart w:id="372" w:name="_Ref130389419"/>
            <w:bookmarkEnd w:id="372"/>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Normal"/>
              <w:widowControl w:val="false"/>
              <w:suppressAutoHyphens w:val="true"/>
              <w:spacing w:before="120" w:after="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28"/>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Style w:val="Style13"/>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28"/>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Style w:val="Style13"/>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6"/>
          <w:headerReference w:type="first" r:id="rId27"/>
          <w:footerReference w:type="default" r:id="rId28"/>
          <w:footerReference w:type="first" r:id="rId2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rStyle w:val="Style10"/>
          <w:i w:val="false"/>
          <w:i w:val="false"/>
          <w:iCs w:val="false"/>
          <w:shd w:fill="auto" w:val="clear"/>
        </w:rPr>
      </w:pPr>
      <w:r>
        <w:rPr>
          <w:rStyle w:val="Style10"/>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2"/>
        <w:rPr/>
      </w:pPr>
      <w:bookmarkStart w:id="373" w:name="_Ref125365264"/>
      <w:bookmarkStart w:id="374" w:name="_Toc186224330"/>
      <w:bookmarkStart w:id="375" w:name="Прил07_ОтборочныеКритерии"/>
      <w:bookmarkEnd w:id="375"/>
      <w:r>
        <w:rPr/>
        <w:t>Приложение № 7 – Отборочные критерии рассмотрения заявок</w:t>
      </w:r>
      <w:bookmarkEnd w:id="373"/>
      <w:bookmarkEnd w:id="374"/>
    </w:p>
    <w:p>
      <w:pPr>
        <w:pStyle w:val="Style28"/>
        <w:spacing w:before="120" w:after="120"/>
        <w:rPr>
          <w:rStyle w:val="Style10"/>
        </w:rPr>
      </w:pPr>
      <w:r>
        <w:rPr/>
      </w:r>
    </w:p>
    <w:p>
      <w:pPr>
        <w:pStyle w:val="Style23"/>
        <w:spacing w:before="360" w:after="120"/>
        <w:rPr>
          <w:rStyle w:val="Style10"/>
          <w:i w:val="false"/>
          <w:i w:val="false"/>
          <w:iCs w:val="false"/>
          <w:shd w:fill="auto" w:val="clear"/>
        </w:rPr>
      </w:pPr>
      <w:bookmarkStart w:id="376" w:name="_Toc186224331"/>
      <w:r>
        <w:rPr>
          <w:rStyle w:val="Style10"/>
          <w:i w:val="false"/>
          <w:iCs w:val="false"/>
          <w:shd w:fill="auto" w:val="clear"/>
        </w:rPr>
        <w:t>Отборочные критерии рассмотрения заявок</w:t>
      </w:r>
      <w:bookmarkEnd w:id="376"/>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3"/>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28"/>
              <w:widowControl w:val="false"/>
              <w:suppressAutoHyphens w:val="true"/>
              <w:spacing w:before="60" w:after="60"/>
              <w:jc w:val="center"/>
              <w:rPr>
                <w:rStyle w:val="Style13"/>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3"/>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28"/>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Юр</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28"/>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3"/>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3"/>
                  <w:rFonts w:eastAsia="Calibri" w:cs=""/>
                  <w:kern w:val="0"/>
                  <w:sz w:val="26"/>
                  <w:szCs w:val="22"/>
                  <w:lang w:val="ru-RU" w:eastAsia="en-US" w:bidi="ar-SA"/>
                </w:rPr>
                <w:t>Проекте договора (Приложение № 2)</w:t>
              </w:r>
            </w:hyperlink>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3"/>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3"/>
                  <w:rFonts w:eastAsia="Calibri" w:cs=""/>
                  <w:kern w:val="0"/>
                  <w:sz w:val="26"/>
                  <w:szCs w:val="22"/>
                  <w:lang w:val="ru-RU" w:eastAsia="en-US" w:bidi="ar-SA"/>
                </w:rPr>
                <w:t>Проекте договора (Приложение № 2)</w:t>
              </w:r>
            </w:hyperlink>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3"/>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3"/>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3"/>
        <w:rPr>
          <w:rStyle w:val="Style10"/>
          <w:i w:val="false"/>
          <w:i w:val="false"/>
          <w:iCs w:val="false"/>
          <w:shd w:fill="auto" w:val="clear"/>
        </w:rPr>
      </w:pPr>
      <w:bookmarkStart w:id="377" w:name="_Toc186224332"/>
      <w:r>
        <w:rPr>
          <w:rStyle w:val="Style10"/>
          <w:i w:val="false"/>
          <w:iCs w:val="false"/>
          <w:shd w:fill="auto" w:val="clear"/>
        </w:rPr>
        <w:t>Дополнительные критерии проверки заявок на соответствие условиям Документации о закупке</w:t>
      </w:r>
      <w:bookmarkEnd w:id="377"/>
    </w:p>
    <w:p>
      <w:pPr>
        <w:pStyle w:val="Style28"/>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критерия проверки</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8"/>
        <w:keepNext w:val="true"/>
        <w:tabs>
          <w:tab w:val="clear" w:pos="720"/>
          <w:tab w:val="left" w:pos="851" w:leader="none"/>
        </w:tabs>
        <w:spacing w:before="240" w:after="0"/>
        <w:rPr>
          <w:b/>
          <w:bCs/>
        </w:rPr>
      </w:pPr>
      <w:r>
        <w:rPr>
          <w:b/>
          <w:bCs/>
        </w:rPr>
        <w:t>* Направления оценки заявок:</w:t>
      </w:r>
    </w:p>
    <w:p>
      <w:pPr>
        <w:pStyle w:val="Style28"/>
        <w:tabs>
          <w:tab w:val="clear" w:pos="720"/>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28"/>
        <w:tabs>
          <w:tab w:val="clear" w:pos="720"/>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78"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78"/>
      <w:r>
        <w:rPr/>
        <w:t>;</w:t>
      </w:r>
    </w:p>
    <w:p>
      <w:pPr>
        <w:pStyle w:val="Style28"/>
        <w:tabs>
          <w:tab w:val="clear" w:pos="720"/>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8"/>
        <w:keepNext w:val="true"/>
        <w:tabs>
          <w:tab w:val="clear" w:pos="720"/>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8"/>
        <w:tabs>
          <w:tab w:val="clear" w:pos="720"/>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30"/>
          <w:headerReference w:type="first" r:id="rId31"/>
          <w:footerReference w:type="default" r:id="rId32"/>
          <w:footerReference w:type="first" r:id="rId3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8"/>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2"/>
        <w:rPr/>
      </w:pPr>
      <w:bookmarkStart w:id="379" w:name="_Ref125366285"/>
      <w:bookmarkStart w:id="380" w:name="Прил08_ПорядокОценки"/>
      <w:bookmarkStart w:id="381" w:name="_Ref125368140"/>
      <w:bookmarkStart w:id="382" w:name="_Ref125368150"/>
      <w:bookmarkStart w:id="383" w:name="_Ref125368165"/>
      <w:bookmarkStart w:id="384" w:name="_Ref125368172"/>
      <w:bookmarkStart w:id="385" w:name="_Ref125368184"/>
      <w:bookmarkStart w:id="386" w:name="_Ref125361648"/>
      <w:bookmarkStart w:id="387" w:name="_Ref125361951"/>
      <w:bookmarkStart w:id="388" w:name="_Ref125366013"/>
      <w:bookmarkStart w:id="389" w:name="_Ref125366280"/>
      <w:bookmarkStart w:id="390" w:name="_Ref125368283"/>
      <w:bookmarkStart w:id="391" w:name="_Ref125368291"/>
      <w:bookmarkStart w:id="392" w:name="_Ref125368302"/>
      <w:bookmarkStart w:id="393" w:name="_Ref125368313"/>
      <w:bookmarkStart w:id="394" w:name="_Ref125368331"/>
      <w:bookmarkStart w:id="395" w:name="_Ref125369021"/>
      <w:bookmarkStart w:id="396" w:name="_Ref125369438"/>
      <w:bookmarkStart w:id="397" w:name="_Toc186224333"/>
      <w:bookmarkEnd w:id="380"/>
      <w:r>
        <w:rPr/>
        <w:t>Приложение № 8 – Порядок и критерии оценки и сопоставления заявок</w:t>
      </w:r>
      <w:bookmarkEnd w:id="379"/>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pPr>
        <w:pStyle w:val="Style23"/>
        <w:rPr/>
      </w:pPr>
      <w:bookmarkStart w:id="398" w:name="_Toc186224334"/>
      <w:r>
        <w:rPr/>
        <w:t>Порядок и критерии оценки и сопоставления заявок</w:t>
      </w:r>
      <w:bookmarkEnd w:id="398"/>
    </w:p>
    <w:p>
      <w:pPr>
        <w:pStyle w:val="Style24"/>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p>
      <w:pPr>
        <w:pStyle w:val="Style24"/>
        <w:numPr>
          <w:ilvl w:val="0"/>
          <w:numId w:val="0"/>
        </w:numPr>
        <w:ind w:left="1134" w:hanging="0"/>
        <w:rPr/>
      </w:pPr>
      <w:r>
        <w:rPr/>
      </w:r>
    </w:p>
    <w:tbl>
      <w:tblPr>
        <w:tblW w:w="151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80"/>
        <w:gridCol w:w="1358"/>
        <w:gridCol w:w="1341"/>
        <w:gridCol w:w="1306"/>
        <w:gridCol w:w="1114"/>
        <w:gridCol w:w="1833"/>
        <w:gridCol w:w="7202"/>
      </w:tblGrid>
      <w:tr>
        <w:trPr>
          <w:trHeight w:val="188" w:hRule="atLeast"/>
          <w:cantSplit w:val="true"/>
        </w:trPr>
        <w:tc>
          <w:tcPr>
            <w:tcW w:w="980"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Номер критерия оценки в структуре</w:t>
            </w:r>
          </w:p>
        </w:tc>
        <w:tc>
          <w:tcPr>
            <w:tcW w:w="1358"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Вид критерия оценки / направление оценки заявок</w:t>
            </w:r>
          </w:p>
        </w:tc>
        <w:tc>
          <w:tcPr>
            <w:tcW w:w="2647" w:type="dxa"/>
            <w:gridSpan w:val="2"/>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Наименование критерия оценки</w:t>
            </w:r>
          </w:p>
        </w:tc>
        <w:tc>
          <w:tcPr>
            <w:tcW w:w="1114"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Значимость критерия оценки</w:t>
            </w:r>
          </w:p>
        </w:tc>
        <w:tc>
          <w:tcPr>
            <w:tcW w:w="1833"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Содержание частного критерия оценки</w:t>
            </w:r>
          </w:p>
        </w:tc>
        <w:tc>
          <w:tcPr>
            <w:tcW w:w="7202"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Расчет оценки предпочтительности заявки</w:t>
            </w:r>
          </w:p>
        </w:tc>
      </w:tr>
      <w:tr>
        <w:trPr>
          <w:trHeight w:val="188" w:hRule="atLeast"/>
          <w:cantSplit w:val="true"/>
        </w:trPr>
        <w:tc>
          <w:tcPr>
            <w:tcW w:w="980"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358"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341" w:type="dxa"/>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критерий оценки первого уровня</w:t>
            </w:r>
          </w:p>
        </w:tc>
        <w:tc>
          <w:tcPr>
            <w:tcW w:w="1306" w:type="dxa"/>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критерий оценки второго уровня</w:t>
            </w:r>
          </w:p>
        </w:tc>
        <w:tc>
          <w:tcPr>
            <w:tcW w:w="1114"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833"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7202"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r>
      <w:tr>
        <w:trPr>
          <w:trHeight w:val="3697" w:hRule="atLeast"/>
        </w:trPr>
        <w:tc>
          <w:tcPr>
            <w:tcW w:w="980"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1.</w:t>
            </w:r>
          </w:p>
        </w:tc>
        <w:tc>
          <w:tcPr>
            <w:tcW w:w="1358"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Ценовой (стоимостный) частный критерий оценки первого уровня / ЦЕНА</w:t>
            </w:r>
          </w:p>
        </w:tc>
        <w:tc>
          <w:tcPr>
            <w:tcW w:w="1341"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Цена договора (заявки)</w:t>
            </w:r>
          </w:p>
        </w:tc>
        <w:tc>
          <w:tcPr>
            <w:tcW w:w="1306"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i/>
                <w:i/>
                <w:sz w:val="18"/>
                <w:szCs w:val="18"/>
                <w:lang w:eastAsia="ru-RU"/>
              </w:rPr>
            </w:pPr>
            <w:r>
              <w:rPr>
                <w:i/>
                <w:sz w:val="18"/>
                <w:szCs w:val="18"/>
                <w:lang w:eastAsia="ru-RU"/>
              </w:rPr>
              <w:t>отсутствует</w:t>
            </w:r>
          </w:p>
        </w:tc>
        <w:tc>
          <w:tcPr>
            <w:tcW w:w="1114"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90%</w:t>
              <w:br/>
              <w:t>(В</w:t>
            </w:r>
            <w:r>
              <w:rPr>
                <w:sz w:val="18"/>
                <w:szCs w:val="18"/>
                <w:vertAlign w:val="subscript"/>
                <w:lang w:eastAsia="ru-RU"/>
              </w:rPr>
              <w:t>1</w:t>
            </w:r>
            <w:r>
              <w:rPr>
                <w:sz w:val="18"/>
                <w:szCs w:val="18"/>
                <w:lang w:eastAsia="ru-RU"/>
              </w:rPr>
              <w:t xml:space="preserve"> = 0,90)</w:t>
            </w:r>
          </w:p>
        </w:tc>
        <w:tc>
          <w:tcPr>
            <w:tcW w:w="1833"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Чем меньше цена заявки Участника, тем выше предпочтительность</w:t>
            </w:r>
          </w:p>
        </w:tc>
        <w:tc>
          <w:tcPr>
            <w:tcW w:w="7202"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Расчет оценки предпочтительности по частному критерию по методу «Математическая формула, задающая «функцию ценности»»:</w:t>
            </w:r>
          </w:p>
          <w:p>
            <w:pPr>
              <w:pStyle w:val="2"/>
              <w:widowControl w:val="false"/>
              <w:numPr>
                <w:ilvl w:val="0"/>
                <w:numId w:val="0"/>
              </w:numPr>
              <w:spacing w:lineRule="auto" w:line="240" w:before="0" w:after="120"/>
              <w:ind w:left="0" w:hanging="0"/>
              <w:contextualSpacing/>
              <w:jc w:val="center"/>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w:r>
              <w:fldChar w:fldCharType="begin"/>
            </w:r>
            <w:r>
              <w:rPr/>
              <w:instrText xml:space="preserve">QUOTE</w:instrText>
            </w:r>
            <w:r>
              <w:rPr/>
            </w:r>
            <w:r>
              <w:rPr/>
              <w:fldChar w:fldCharType="separate"/>
            </w:r>
            <w:r>
              <w:rPr/>
            </w:r>
            <w:r/>
            <w:r>
              <w:rPr/>
              <w:fldChar w:fldCharType="end"/>
            </w:r>
            <w:r>
              <w:rPr/>
            </w:r>
          </w:p>
          <w:p>
            <w:pPr>
              <w:pStyle w:val="2"/>
              <w:widowControl w:val="false"/>
              <w:numPr>
                <w:ilvl w:val="0"/>
                <w:numId w:val="0"/>
              </w:numPr>
              <w:spacing w:lineRule="auto" w:line="240" w:before="96" w:after="0"/>
              <w:ind w:left="0" w:hanging="0"/>
              <w:contextualSpacing/>
              <w:jc w:val="left"/>
              <w:rPr>
                <w:sz w:val="18"/>
                <w:szCs w:val="18"/>
                <w:lang w:eastAsia="ru-RU"/>
              </w:rPr>
            </w:pPr>
            <w:r>
              <w:rPr>
                <w:sz w:val="18"/>
                <w:szCs w:val="18"/>
                <w:lang w:eastAsia="ru-RU"/>
              </w:rPr>
              <w:t>где:</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Б</w:t>
            </w:r>
            <w:r>
              <w:rPr>
                <w:sz w:val="18"/>
                <w:szCs w:val="18"/>
                <w:vertAlign w:val="subscript"/>
                <w:lang w:eastAsia="ru-RU"/>
              </w:rPr>
              <w:t>1</w:t>
            </w:r>
            <w:r>
              <w:rPr>
                <w:sz w:val="18"/>
                <w:szCs w:val="18"/>
                <w:lang w:eastAsia="ru-RU"/>
              </w:rPr>
              <w:tab/>
              <w:t>–</w:t>
              <w:tab/>
              <w:t>рассчитанная оценка предпочтительности по данному частному критерию оценки в баллах;</w:t>
            </w:r>
          </w:p>
          <w:p>
            <w:pPr>
              <w:pStyle w:val="Normal"/>
              <w:widowControl w:val="false"/>
              <w:spacing w:lineRule="auto" w:line="252"/>
              <w:rPr>
                <w:sz w:val="18"/>
                <w:szCs w:val="18"/>
              </w:rPr>
            </w:pPr>
            <w:r>
              <w:rPr>
                <w:sz w:val="18"/>
                <w:szCs w:val="18"/>
              </w:rPr>
              <w:t>ЦЕНА</w:t>
            </w:r>
            <w:r>
              <w:rPr>
                <w:i/>
                <w:iCs/>
                <w:sz w:val="18"/>
                <w:szCs w:val="18"/>
                <w:vertAlign w:val="subscript"/>
                <w:lang w:val="en-US"/>
              </w:rPr>
              <w:t>i</w:t>
            </w:r>
            <w:r>
              <w:rPr>
                <w:sz w:val="18"/>
                <w:szCs w:val="18"/>
              </w:rPr>
              <w:t xml:space="preserve">  – </w:t>
            </w:r>
            <w:r>
              <w:rPr>
                <w:rFonts w:eastAsia="Calibri"/>
                <w:sz w:val="18"/>
                <w:szCs w:val="16"/>
              </w:rPr>
              <w:t xml:space="preserve">цена договора (заявки), указанная в </w:t>
            </w:r>
            <w:r>
              <w:rPr>
                <w:rFonts w:eastAsia="Calibri"/>
                <w:sz w:val="18"/>
                <w:szCs w:val="16"/>
                <w:lang w:val="en-US"/>
              </w:rPr>
              <w:t>i</w:t>
            </w:r>
            <w:r>
              <w:rPr>
                <w:rFonts w:eastAsia="Calibri"/>
                <w:sz w:val="18"/>
                <w:szCs w:val="16"/>
              </w:rPr>
              <w:t xml:space="preserve">-той заявке (в Коммерческом предложении по установленной в документации о закупке форме (форма 3) допущенного участника, </w:t>
            </w:r>
            <w:r>
              <w:rPr>
                <w:sz w:val="18"/>
                <w:szCs w:val="18"/>
              </w:rPr>
              <w:t>руб. без учета НДС ;</w:t>
            </w:r>
          </w:p>
          <w:p>
            <w:pPr>
              <w:pStyle w:val="Normal"/>
              <w:widowControl w:val="false"/>
              <w:spacing w:lineRule="auto" w:line="252"/>
              <w:rPr>
                <w:sz w:val="18"/>
                <w:szCs w:val="18"/>
              </w:rPr>
            </w:pPr>
            <w:r>
              <w:rPr>
                <w:sz w:val="18"/>
                <w:szCs w:val="18"/>
              </w:rPr>
              <w:t>ЦЕНА</w:t>
            </w:r>
            <w:r>
              <w:rPr>
                <w:vertAlign w:val="subscript"/>
                <w:lang w:val="en-US"/>
              </w:rPr>
              <w:t>min</w:t>
            </w:r>
            <w:r>
              <w:rPr>
                <w:vertAlign w:val="subscript"/>
              </w:rPr>
              <w:t xml:space="preserve"> </w:t>
            </w:r>
            <w:r>
              <w:rPr>
                <w:sz w:val="18"/>
                <w:szCs w:val="18"/>
              </w:rPr>
              <w:t>– минимальная цена договора (заявки) среди всех допущенных заявок участников, руб. без учета НДС;</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Ш</w:t>
              <w:tab/>
              <w:t>–</w:t>
              <w:tab/>
              <w:t>максимально возможный балл (максимальная возможная оценка предпочтительности) по шкале оценок (Ш = 5).</w:t>
            </w:r>
          </w:p>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color w:val="000000"/>
                <w:sz w:val="18"/>
              </w:rPr>
              <w:t>.</w:t>
            </w:r>
          </w:p>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Шкала оценок от 0 до 5 баллов.</w:t>
            </w:r>
          </w:p>
        </w:tc>
      </w:tr>
      <w:tr>
        <w:trPr>
          <w:trHeight w:val="2247" w:hRule="atLeast"/>
        </w:trPr>
        <w:tc>
          <w:tcPr>
            <w:tcW w:w="980" w:type="dxa"/>
            <w:tcBorders>
              <w:top w:val="single" w:sz="4" w:space="0" w:color="00000A"/>
              <w:left w:val="single" w:sz="4" w:space="0" w:color="00000A"/>
              <w:bottom w:val="single" w:sz="4" w:space="0" w:color="00000A"/>
              <w:right w:val="single" w:sz="4" w:space="0" w:color="00000A"/>
            </w:tcBorders>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2.</w:t>
            </w:r>
          </w:p>
        </w:tc>
        <w:tc>
          <w:tcPr>
            <w:tcW w:w="1358" w:type="dxa"/>
            <w:tcBorders>
              <w:top w:val="single" w:sz="4" w:space="0" w:color="00000A"/>
              <w:left w:val="single" w:sz="4" w:space="0" w:color="00000A"/>
              <w:bottom w:val="single" w:sz="4" w:space="0" w:color="00000A"/>
              <w:right w:val="single" w:sz="4" w:space="0" w:color="00000A"/>
            </w:tcBorders>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Неценовой критерий оценки первого уровня / ТЕХ</w:t>
            </w:r>
          </w:p>
        </w:tc>
        <w:tc>
          <w:tcPr>
            <w:tcW w:w="1341"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Квалификация (предпочти-тельность) Участника</w:t>
            </w:r>
          </w:p>
        </w:tc>
        <w:tc>
          <w:tcPr>
            <w:tcW w:w="1306"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i/>
                <w:sz w:val="18"/>
                <w:szCs w:val="18"/>
                <w:lang w:eastAsia="ru-RU"/>
              </w:rPr>
              <w:t>отсутствует</w:t>
            </w:r>
          </w:p>
        </w:tc>
        <w:tc>
          <w:tcPr>
            <w:tcW w:w="1114"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10%</w:t>
              <w:br/>
              <w:t>(В</w:t>
            </w:r>
            <w:r>
              <w:rPr>
                <w:sz w:val="18"/>
                <w:szCs w:val="18"/>
                <w:vertAlign w:val="subscript"/>
                <w:lang w:eastAsia="ru-RU"/>
              </w:rPr>
              <w:t>2</w:t>
            </w:r>
            <w:r>
              <w:rPr>
                <w:sz w:val="18"/>
                <w:szCs w:val="18"/>
                <w:lang w:eastAsia="ru-RU"/>
              </w:rPr>
              <w:t xml:space="preserve"> = 0,10)</w:t>
            </w:r>
          </w:p>
        </w:tc>
        <w:tc>
          <w:tcPr>
            <w:tcW w:w="1833"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Чем больше опыт (до оцениваемого предела), тем выше предпочтительность</w:t>
            </w:r>
          </w:p>
        </w:tc>
        <w:tc>
          <w:tcPr>
            <w:tcW w:w="7202"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3"/>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t xml:space="preserve">Порядок осуществления оценки (значение оцениваемого параметра), в зависимости от предоставленных в </w:t>
            </w:r>
            <w:r>
              <w:rPr>
                <w:i/>
                <w:sz w:val="18"/>
                <w:szCs w:val="18"/>
                <w:lang w:val="en-US" w:eastAsia="ru-RU"/>
              </w:rPr>
              <w:t>i</w:t>
            </w:r>
            <w:r>
              <w:rPr>
                <w:sz w:val="18"/>
                <w:szCs w:val="18"/>
                <w:lang w:eastAsia="ru-RU"/>
              </w:rPr>
              <w:t>-ой заявке документов, подтверждающих опыт, требуемый в соответствии п. 4.1 ТТ, на общую сумму:</w:t>
            </w:r>
          </w:p>
          <w:tbl>
            <w:tblPr>
              <w:tblW w:w="64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82"/>
              <w:gridCol w:w="5529"/>
            </w:tblGrid>
            <w:tr>
              <w:trPr>
                <w:cantSplit w:val="true"/>
              </w:trPr>
              <w:tc>
                <w:tcPr>
                  <w:tcW w:w="882" w:type="dxa"/>
                  <w:tcBorders>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0</w:t>
                  </w:r>
                </w:p>
              </w:tc>
              <w:tc>
                <w:tcPr>
                  <w:tcW w:w="5529" w:type="dxa"/>
                  <w:tcBorders>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color w:val="000000"/>
                      <w:sz w:val="18"/>
                    </w:rPr>
                    <w:t>До 1 711 823,95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1</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color w:val="000000"/>
                      <w:sz w:val="18"/>
                    </w:rPr>
                    <w:t>Более 1 711 823,95 руб., без учета НДС, но менее 2 139 779,93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2</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color w:val="000000"/>
                      <w:sz w:val="18"/>
                    </w:rPr>
                    <w:t>Более 2 139 779,93 руб., без учета НДС, но менее 2 567 735,92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3</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color w:val="000000"/>
                      <w:sz w:val="18"/>
                    </w:rPr>
                    <w:t>Более 2 567 735,92 руб., без учета НДС, но менее 2 995 691,90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4</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color w:val="000000"/>
                      <w:sz w:val="18"/>
                    </w:rPr>
                    <w:t>Более 2 995 691,90 руб., без учета НДС, но менее 3 423 647,89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5</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sz w:val="18"/>
                      <w:szCs w:val="18"/>
                      <w:lang w:eastAsia="ru-RU"/>
                    </w:rPr>
                    <w:t>Более 3 423 647,89 руб., без учета НДС.</w:t>
                  </w:r>
                  <w:bookmarkStart w:id="399" w:name="_GoBack_Копия_1"/>
                  <w:bookmarkEnd w:id="399"/>
                </w:p>
              </w:tc>
            </w:tr>
          </w:tbl>
          <w:p>
            <w:pPr>
              <w:pStyle w:val="2"/>
              <w:widowControl w:val="false"/>
              <w:numPr>
                <w:ilvl w:val="0"/>
                <w:numId w:val="0"/>
              </w:numPr>
              <w:spacing w:lineRule="auto" w:line="240" w:before="96" w:after="0"/>
              <w:ind w:left="0" w:hanging="0"/>
              <w:contextualSpacing/>
              <w:jc w:val="left"/>
              <w:rPr>
                <w:sz w:val="18"/>
                <w:szCs w:val="18"/>
                <w:lang w:eastAsia="ru-RU"/>
              </w:rPr>
            </w:pPr>
            <w:r>
              <w:rPr>
                <w:sz w:val="18"/>
                <w:szCs w:val="18"/>
                <w:lang w:eastAsia="ru-RU"/>
              </w:rPr>
              <w:t>Где:</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Б</w:t>
            </w:r>
            <w:r>
              <w:rPr>
                <w:sz w:val="18"/>
                <w:szCs w:val="18"/>
                <w:vertAlign w:val="subscript"/>
                <w:lang w:eastAsia="ru-RU"/>
              </w:rPr>
              <w:t>2</w:t>
            </w:r>
            <w:r>
              <w:rPr>
                <w:sz w:val="18"/>
                <w:szCs w:val="18"/>
                <w:lang w:eastAsia="ru-RU"/>
              </w:rPr>
              <w:tab/>
              <w:t>–</w:t>
              <w:tab/>
              <w:t>рассчитанная оценка предпочтительности по данному частному критерию оценки в баллах.</w:t>
            </w:r>
          </w:p>
          <w:p>
            <w:pPr>
              <w:pStyle w:val="3"/>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t>Опыт, несоответствующий установленным в документации о закупке требованиям (п. 4.1 ТТ), не оцениватся.</w:t>
            </w:r>
          </w:p>
          <w:p>
            <w:pPr>
              <w:pStyle w:val="3"/>
              <w:widowControl w:val="false"/>
              <w:numPr>
                <w:ilvl w:val="7"/>
                <w:numId w:val="2"/>
              </w:numPr>
              <w:spacing w:lineRule="auto" w:line="240" w:before="40" w:after="40"/>
              <w:ind w:left="0" w:hanging="0"/>
              <w:contextualSpacing/>
              <w:jc w:val="left"/>
              <w:rPr>
                <w:sz w:val="18"/>
                <w:szCs w:val="18"/>
                <w:lang w:eastAsia="ru-RU"/>
              </w:rPr>
            </w:pPr>
            <w:r>
              <w:rPr>
                <w:sz w:val="18"/>
                <w:szCs w:val="18"/>
                <w:lang w:eastAsia="ru-RU"/>
              </w:rPr>
              <w:t>Шкала оценок от 0 до 5 баллов.</w:t>
            </w:r>
          </w:p>
        </w:tc>
      </w:tr>
      <w:tr>
        <w:trPr>
          <w:trHeight w:val="2856" w:hRule="atLeast"/>
          <w:cantSplit w:val="true"/>
        </w:trPr>
        <w:tc>
          <w:tcPr>
            <w:tcW w:w="4985" w:type="dxa"/>
            <w:gridSpan w:val="4"/>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right"/>
              <w:rPr>
                <w:sz w:val="18"/>
                <w:szCs w:val="18"/>
                <w:lang w:eastAsia="ru-RU"/>
              </w:rPr>
            </w:pPr>
            <w:r>
              <w:rPr>
                <w:sz w:val="18"/>
                <w:szCs w:val="18"/>
                <w:lang w:eastAsia="ru-RU"/>
              </w:rPr>
              <w:t>Итоговая оценка предпочтительности заявки:</w:t>
            </w:r>
          </w:p>
        </w:tc>
        <w:tc>
          <w:tcPr>
            <w:tcW w:w="10149"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40" w:after="0"/>
              <w:rPr>
                <w:sz w:val="18"/>
                <w:szCs w:val="18"/>
              </w:rPr>
            </w:pPr>
            <w:r>
              <w:rPr>
                <w:sz w:val="18"/>
                <w:szCs w:val="18"/>
              </w:rPr>
              <w:t xml:space="preserve">Расчет итоговой оценки предпочтительности </w:t>
            </w:r>
            <w:r>
              <w:rPr>
                <w:i/>
                <w:sz w:val="18"/>
                <w:szCs w:val="18"/>
                <w:lang w:val="en-US"/>
              </w:rPr>
              <w:t>i</w:t>
            </w:r>
            <w:r>
              <w:rPr>
                <w:sz w:val="18"/>
                <w:szCs w:val="18"/>
              </w:rPr>
              <w:t>-ой заявки:</w:t>
            </w:r>
          </w:p>
          <w:p>
            <w:pPr>
              <w:pStyle w:val="Normal"/>
              <w:keepNext w:val="true"/>
              <w:widowControl w:val="false"/>
              <w:jc w:val="center"/>
              <w:rPr>
                <w:sz w:val="18"/>
                <w:szCs w:val="18"/>
              </w:rPr>
            </w:pPr>
            <w:r>
              <w:rPr>
                <w:sz w:val="18"/>
                <w:szCs w:val="18"/>
              </w:rPr>
            </w:r>
          </w:p>
          <w:p>
            <w:pPr>
              <w:pStyle w:val="Normal"/>
              <w:keepNext w:val="true"/>
              <w:widowControl w:val="false"/>
              <w:spacing w:before="96" w:after="0"/>
              <w:jc w:val="center"/>
              <w:rPr>
                <w:sz w:val="20"/>
                <w:szCs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r>
                          <w:rPr>
                            <w:rFonts w:ascii="Cambria Math" w:hAnsi="Cambria Math"/>
                          </w:rPr>
                          <m:t xml:space="preserve">×</m:t>
                        </m:r>
                        <m:sSub>
                          <m:e>
                            <m:r>
                              <w:rPr>
                                <w:rFonts w:ascii="Cambria Math" w:hAnsi="Cambria Math"/>
                              </w:rPr>
                              <m:t xml:space="preserve">В</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e>
                    </m:d>
                  </m:e>
                </m:nary>
                <m:r>
                  <w:rPr>
                    <w:rFonts w:ascii="Cambria Math" w:hAnsi="Cambria Math"/>
                  </w:rPr>
                  <m:t xml:space="preserve">,</m:t>
                </m:r>
              </m:oMath>
            </m:oMathPara>
          </w:p>
          <w:p>
            <w:pPr>
              <w:pStyle w:val="Normal"/>
              <w:keepNext w:val="true"/>
              <w:widowControl w:val="false"/>
              <w:spacing w:before="96" w:after="0"/>
              <w:rPr>
                <w:sz w:val="18"/>
                <w:szCs w:val="18"/>
              </w:rPr>
            </w:pPr>
            <w:r>
              <w:rPr>
                <w:sz w:val="18"/>
                <w:szCs w:val="18"/>
              </w:rPr>
              <w:t>где:</w:t>
            </w:r>
          </w:p>
          <w:p>
            <w:pPr>
              <w:pStyle w:val="Normal"/>
              <w:widowControl w:val="false"/>
              <w:tabs>
                <w:tab w:val="clear" w:pos="720"/>
                <w:tab w:val="left" w:pos="742" w:leader="none"/>
                <w:tab w:val="left" w:pos="1167" w:leader="none"/>
              </w:tabs>
              <w:rPr>
                <w:sz w:val="18"/>
                <w:szCs w:val="18"/>
              </w:rPr>
            </w:pPr>
            <w:r>
              <w:rPr>
                <w:sz w:val="18"/>
                <w:szCs w:val="18"/>
              </w:rPr>
              <w:t>Б</w:t>
            </w:r>
            <w:r>
              <w:rPr>
                <w:sz w:val="18"/>
                <w:szCs w:val="18"/>
                <w:vertAlign w:val="subscript"/>
              </w:rPr>
              <w:t>ИТОГ</w:t>
            </w:r>
            <w:r>
              <w:rPr>
                <w:sz w:val="18"/>
                <w:szCs w:val="18"/>
              </w:rPr>
              <w:tab/>
              <w:t>–</w:t>
              <w:tab/>
              <w:t>рассчитанная итоговая оценка предпочтительности в баллах;</w:t>
            </w:r>
          </w:p>
          <w:p>
            <w:pPr>
              <w:pStyle w:val="Normal"/>
              <w:widowControl w:val="false"/>
              <w:tabs>
                <w:tab w:val="clear" w:pos="720"/>
                <w:tab w:val="left" w:pos="742" w:leader="none"/>
                <w:tab w:val="left" w:pos="1167" w:leader="none"/>
              </w:tabs>
              <w:rPr>
                <w:sz w:val="18"/>
                <w:szCs w:val="18"/>
              </w:rPr>
            </w:pPr>
            <w:r>
              <w:rPr>
                <w:sz w:val="18"/>
                <w:szCs w:val="18"/>
              </w:rPr>
              <w:t>Б</w:t>
            </w:r>
            <w:r>
              <w:rPr>
                <w:sz w:val="18"/>
                <w:szCs w:val="18"/>
                <w:vertAlign w:val="subscript"/>
              </w:rPr>
              <w:t>1 уровень k</w:t>
            </w:r>
            <w:r>
              <w:rPr>
                <w:sz w:val="18"/>
                <w:szCs w:val="18"/>
              </w:rPr>
              <w:tab/>
              <w:t>–</w:t>
              <w:tab/>
              <w:t>оценка предпочтительности по k-тому критерию оценки первого уровня в баллах;</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120"/>
              <w:ind w:left="0" w:hanging="0"/>
              <w:contextualSpacing/>
              <w:jc w:val="left"/>
              <w:rPr>
                <w:sz w:val="18"/>
                <w:szCs w:val="18"/>
                <w:lang w:eastAsia="ru-RU"/>
              </w:rPr>
            </w:pPr>
            <w:r>
              <w:rPr>
                <w:sz w:val="18"/>
                <w:szCs w:val="18"/>
              </w:rPr>
              <w:t>В</w:t>
            </w:r>
            <w:r>
              <w:rPr>
                <w:sz w:val="18"/>
                <w:szCs w:val="18"/>
                <w:vertAlign w:val="subscript"/>
              </w:rPr>
              <w:t>1 уровень k</w:t>
            </w:r>
            <w:r>
              <w:rPr>
                <w:sz w:val="18"/>
                <w:szCs w:val="18"/>
              </w:rPr>
              <w:tab/>
              <w:t>–</w:t>
              <w:tab/>
              <w:t xml:space="preserve">значимость k-ого критерия оценки первого уровня, выраженная в диапазоне от 1% до 100% (или от 0,01 до 1,00) – вес k-ого критерия оценки первого уровня. </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120"/>
              <w:ind w:left="0" w:hanging="0"/>
              <w:contextualSpacing/>
              <w:jc w:val="left"/>
              <w:rPr>
                <w:sz w:val="18"/>
                <w:szCs w:val="18"/>
                <w:lang w:eastAsia="ru-RU"/>
              </w:rPr>
            </w:pPr>
            <w:r>
              <w:rPr>
                <w:i/>
                <w:iCs/>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4"/>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4"/>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sectPr>
          <w:headerReference w:type="default" r:id="rId34"/>
          <w:headerReference w:type="first" r:id="rId35"/>
          <w:footerReference w:type="default" r:id="rId36"/>
          <w:footerReference w:type="first" r:id="rId37"/>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4"/>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pStyle w:val="Style22"/>
        <w:rPr/>
      </w:pPr>
      <w:bookmarkStart w:id="400" w:name="_Ref125360420"/>
      <w:bookmarkStart w:id="401" w:name="Прил09_ОбоснованиеНМЦ"/>
      <w:bookmarkStart w:id="402" w:name="_Toc186224336"/>
      <w:bookmarkStart w:id="403" w:name="_Toc136249260"/>
      <w:bookmarkStart w:id="404" w:name="_Toc136261689"/>
      <w:bookmarkStart w:id="405" w:name="_Toc136261766"/>
      <w:bookmarkStart w:id="406" w:name="_Toc136249261"/>
      <w:bookmarkStart w:id="407" w:name="_Toc136261690"/>
      <w:bookmarkStart w:id="408" w:name="_Toc136261767"/>
      <w:bookmarkStart w:id="409" w:name="_Toc136249262"/>
      <w:bookmarkStart w:id="410" w:name="_Toc136261691"/>
      <w:bookmarkStart w:id="411" w:name="_Toc136261768"/>
      <w:bookmarkStart w:id="412" w:name="_Toc136249263"/>
      <w:bookmarkStart w:id="413" w:name="_Toc136261692"/>
      <w:bookmarkStart w:id="414" w:name="_Toc136261769"/>
      <w:bookmarkEnd w:id="403"/>
      <w:bookmarkEnd w:id="404"/>
      <w:bookmarkEnd w:id="405"/>
      <w:bookmarkEnd w:id="406"/>
      <w:bookmarkEnd w:id="407"/>
      <w:bookmarkEnd w:id="408"/>
      <w:bookmarkEnd w:id="409"/>
      <w:bookmarkEnd w:id="410"/>
      <w:bookmarkEnd w:id="411"/>
      <w:bookmarkEnd w:id="412"/>
      <w:bookmarkEnd w:id="413"/>
      <w:bookmarkEnd w:id="414"/>
      <w:r>
        <w:rPr/>
        <w:t>Приложение № 9 – Обоснование НМЦ</w:t>
      </w:r>
      <w:bookmarkEnd w:id="400"/>
      <w:bookmarkEnd w:id="401"/>
      <w:bookmarkEnd w:id="402"/>
    </w:p>
    <w:p>
      <w:pPr>
        <w:pStyle w:val="Style23"/>
        <w:rPr/>
      </w:pPr>
      <w:bookmarkStart w:id="415" w:name="_Toc186224337"/>
      <w:r>
        <w:rPr/>
        <w:t>Пояснения к Обоснованию НМЦ</w:t>
      </w:r>
      <w:bookmarkEnd w:id="415"/>
    </w:p>
    <w:p>
      <w:pPr>
        <w:pStyle w:val="Style24"/>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2"/>
        <w:rPr/>
      </w:pPr>
      <w:bookmarkStart w:id="416" w:name="_Toc186224338"/>
      <w:bookmarkStart w:id="417" w:name="Прил10_ЗаявкаНаАккредитацию"/>
      <w:bookmarkEnd w:id="417"/>
      <w:r>
        <w:rPr/>
        <w:t>Приложение № 10 – Форма Заявки на аккредитацию</w:t>
      </w:r>
      <w:bookmarkEnd w:id="416"/>
    </w:p>
    <w:p>
      <w:pPr>
        <w:pStyle w:val="Style23"/>
        <w:rPr/>
      </w:pPr>
      <w:bookmarkStart w:id="418" w:name="_Toc186224339"/>
      <w:r>
        <w:rPr/>
        <w:t>Пояснения к форме Заявки на аккредитацию</w:t>
      </w:r>
      <w:bookmarkEnd w:id="418"/>
    </w:p>
    <w:p>
      <w:pPr>
        <w:pStyle w:val="Style24"/>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8"/>
        <w:jc w:val="center"/>
        <w:rPr/>
      </w:pPr>
      <w:r>
        <w:rPr/>
        <w:object>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78pt;height:50.25pt;mso-wrap-distance-right:0pt" filled="f" o:ole="">
            <v:imagedata r:id="rId39" o:title=""/>
          </v:shape>
          <o:OLEObject Type="Embed" ProgID="Excel.Sheet.12" ShapeID="ole_rId38" DrawAspect="Icon" ObjectID="_574018287" r:id="rId38"/>
        </w:object>
      </w:r>
    </w:p>
    <w:sectPr>
      <w:headerReference w:type="default" r:id="rId40"/>
      <w:headerReference w:type="first" r:id="rId41"/>
      <w:footerReference w:type="default" r:id="rId42"/>
      <w:footerReference w:type="first" r:id="rId43"/>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99291949"/>
    </w:sdtPr>
    <w:sdtContent>
      <w:p>
        <w:pPr>
          <w:pStyle w:val="Footer"/>
          <w:spacing w:before="120" w:after="0"/>
          <w:rPr/>
        </w:pPr>
        <w:r>
          <w:rPr/>
          <w:fldChar w:fldCharType="begin"/>
        </w:r>
        <w:r>
          <w:rPr/>
          <w:instrText xml:space="preserve"> PAGE </w:instrText>
        </w:r>
        <w:r>
          <w:rPr/>
          <w:fldChar w:fldCharType="separate"/>
        </w:r>
        <w:r>
          <w:rPr/>
          <w:t>2</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85584726"/>
    </w:sdtPr>
    <w:sdtContent>
      <w:p>
        <w:pPr>
          <w:pStyle w:val="Footer"/>
          <w:spacing w:before="120" w:after="0"/>
          <w:rPr/>
        </w:pPr>
        <w:r>
          <w:rPr/>
          <w:fldChar w:fldCharType="begin"/>
        </w:r>
        <w:r>
          <w:rPr/>
          <w:instrText xml:space="preserve"> PAGE </w:instrText>
        </w:r>
        <w:r>
          <w:rPr/>
          <w:fldChar w:fldCharType="separate"/>
        </w:r>
        <w:r>
          <w:rPr/>
          <w:t>73</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75557584"/>
    </w:sdtPr>
    <w:sdtContent>
      <w:p>
        <w:pPr>
          <w:pStyle w:val="Footer"/>
          <w:spacing w:before="120" w:after="0"/>
          <w:rPr/>
        </w:pPr>
        <w:r>
          <w:rPr/>
          <w:fldChar w:fldCharType="begin"/>
        </w:r>
        <w:r>
          <w:rPr/>
          <w:instrText xml:space="preserve"> PAGE </w:instrText>
        </w:r>
        <w:r>
          <w:rPr/>
          <w:fldChar w:fldCharType="separate"/>
        </w:r>
        <w:r>
          <w:rPr/>
          <w:t>76</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29057444"/>
    </w:sdtPr>
    <w:sdtContent>
      <w:p>
        <w:pPr>
          <w:pStyle w:val="Footer"/>
          <w:spacing w:before="120" w:after="0"/>
          <w:rPr/>
        </w:pPr>
        <w:r>
          <w:rPr/>
          <w:fldChar w:fldCharType="begin"/>
        </w:r>
        <w:r>
          <w:rPr/>
          <w:instrText xml:space="preserve"> PAGE </w:instrText>
        </w:r>
        <w:r>
          <w:rPr/>
          <w:fldChar w:fldCharType="separate"/>
        </w:r>
        <w:r>
          <w:rPr/>
          <w:t>77</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52087074"/>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85700293"/>
    </w:sdtPr>
    <w:sdtContent>
      <w:p>
        <w:pPr>
          <w:pStyle w:val="Footer"/>
          <w:spacing w:before="120" w:after="0"/>
          <w:rPr/>
        </w:pPr>
        <w:r>
          <w:rPr/>
          <w:fldChar w:fldCharType="begin"/>
        </w:r>
        <w:r>
          <w:rPr/>
          <w:instrText xml:space="preserve"> PAGE </w:instrText>
        </w:r>
        <w:r>
          <w:rPr/>
          <w:fldChar w:fldCharType="separate"/>
        </w:r>
        <w:r>
          <w:rPr/>
          <w:t>29</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99199798"/>
    </w:sdtPr>
    <w:sdtContent>
      <w:p>
        <w:pPr>
          <w:pStyle w:val="Footer"/>
          <w:spacing w:before="120" w:after="0"/>
          <w:rPr/>
        </w:pPr>
        <w:r>
          <w:rPr/>
          <w:fldChar w:fldCharType="begin"/>
        </w:r>
        <w:r>
          <w:rPr/>
          <w:instrText xml:space="preserve"> PAGE </w:instrText>
        </w:r>
        <w:r>
          <w:rPr/>
          <w:fldChar w:fldCharType="separate"/>
        </w:r>
        <w:r>
          <w:rPr/>
          <w:t>60</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29440177"/>
    </w:sdtPr>
    <w:sdtContent>
      <w:p>
        <w:pPr>
          <w:pStyle w:val="Footer"/>
          <w:spacing w:before="120" w:after="0"/>
          <w:rPr/>
        </w:pPr>
        <w:r>
          <w:rPr/>
          <w:fldChar w:fldCharType="begin"/>
        </w:r>
        <w:r>
          <w:rPr/>
          <w:instrText xml:space="preserve"> PAGE </w:instrText>
        </w:r>
        <w:r>
          <w:rPr/>
          <w:fldChar w:fldCharType="separate"/>
        </w:r>
        <w:r>
          <w:rPr/>
          <w:t>62</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spacing w:before="80" w:after="0"/>
        <w:ind w:left="567" w:hanging="567"/>
        <w:jc w:val="both"/>
        <w:rPr/>
      </w:pPr>
      <w:r>
        <w:rPr>
          <w:rStyle w:val="Style12"/>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0"/>
        <w:spacing w:before="80" w:after="0"/>
        <w:ind w:left="567" w:hanging="567"/>
        <w:jc w:val="both"/>
        <w:rPr/>
      </w:pPr>
      <w:r>
        <w:rPr>
          <w:rStyle w:val="Style12"/>
        </w:rPr>
        <w:footnoteRef/>
      </w:r>
      <w:r>
        <w:rPr/>
        <w:tab/>
        <w:t>Определенные в соответствии с Законом 422-ФЗ.</w:t>
      </w:r>
    </w:p>
  </w:footnote>
  <w:footnote w:id="4">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0"/>
        <w:spacing w:before="80" w:after="0"/>
        <w:ind w:left="567" w:hanging="567"/>
        <w:jc w:val="both"/>
        <w:rPr/>
      </w:pPr>
      <w:r>
        <w:rPr>
          <w:rStyle w:val="Style12"/>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0"/>
        <w:spacing w:before="80" w:after="0"/>
        <w:ind w:left="567" w:hanging="567"/>
        <w:jc w:val="both"/>
        <w:rPr/>
      </w:pPr>
      <w:r>
        <w:rPr>
          <w:rStyle w:val="Style12"/>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0"/>
        <w:spacing w:before="80" w:after="0"/>
        <w:ind w:left="567" w:hanging="567"/>
        <w:jc w:val="both"/>
        <w:rPr/>
      </w:pPr>
      <w:r>
        <w:rPr>
          <w:rStyle w:val="Style12"/>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0"/>
        <w:spacing w:before="80" w:after="0"/>
        <w:ind w:left="567" w:hanging="567"/>
        <w:jc w:val="both"/>
        <w:rPr/>
      </w:pPr>
      <w:r>
        <w:rPr>
          <w:rStyle w:val="Style12"/>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0"/>
        <w:spacing w:before="80" w:after="0"/>
        <w:ind w:left="567" w:hanging="567"/>
        <w:jc w:val="both"/>
        <w:rPr/>
      </w:pPr>
      <w:r>
        <w:rPr>
          <w:rStyle w:val="Style12"/>
        </w:rPr>
        <w:footnoteRef/>
      </w:r>
      <w:r>
        <w:rPr/>
        <w:tab/>
        <w:t>https://minfin.gov.ru/ru/perfomance/tax_relations/policy/bankwarranty/</w:t>
      </w:r>
    </w:p>
  </w:footnote>
  <w:footnote w:id="12">
    <w:p>
      <w:pPr>
        <w:pStyle w:val="Style30"/>
        <w:spacing w:before="80" w:after="0"/>
        <w:ind w:left="567" w:hanging="567"/>
        <w:jc w:val="both"/>
        <w:rPr/>
      </w:pPr>
      <w:r>
        <w:rPr>
          <w:rStyle w:val="Style12"/>
        </w:rPr>
        <w:footnoteRef/>
      </w:r>
      <w:r>
        <w:rPr/>
        <w:tab/>
        <w:t>Коллективный участник предоставляет указанные документы на каждого члена.</w:t>
      </w:r>
    </w:p>
  </w:footnote>
  <w:footnote w:id="13">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0"/>
        <w:spacing w:before="80" w:after="0"/>
        <w:ind w:left="567" w:hanging="567"/>
        <w:jc w:val="both"/>
        <w:rPr/>
      </w:pPr>
      <w:r>
        <w:rPr>
          <w:rStyle w:val="Style12"/>
        </w:rPr>
        <w:footnoteRef/>
      </w:r>
      <w:bookmarkStart w:id="419"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19"/>
    </w:p>
  </w:footnote>
  <w:footnote w:id="15">
    <w:p>
      <w:pPr>
        <w:pStyle w:val="Style30"/>
        <w:spacing w:before="80" w:after="0"/>
        <w:ind w:left="567" w:hanging="567"/>
        <w:jc w:val="both"/>
        <w:rPr/>
      </w:pPr>
      <w:r>
        <w:rPr>
          <w:rStyle w:val="Style12"/>
        </w:rPr>
        <w:footnoteRef/>
      </w:r>
      <w:bookmarkStart w:id="420" w:name="_Hlk139028803_Копия_1_Копия_1_Копия_1_Ко"/>
      <w:bookmarkStart w:id="421"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20"/>
      <w:bookmarkEnd w:id="421"/>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24"/>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2">
    <w:name w:val="Heading 2"/>
    <w:basedOn w:val="Style20"/>
    <w:next w:val="BodyText"/>
    <w:qFormat/>
    <w:pPr>
      <w:spacing w:before="200" w:after="120"/>
    </w:pPr>
    <w:rPr>
      <w:b/>
      <w:bCs/>
      <w:sz w:val="32"/>
      <w:szCs w:val="32"/>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uiPriority w:val="99"/>
    <w:qFormat/>
    <w:rsid w:val="00c95e18"/>
    <w:rPr/>
  </w:style>
  <w:style w:type="character" w:styleId="Style9" w:customStyle="1">
    <w:name w:val="Нижний колонтитул Знак"/>
    <w:basedOn w:val="DefaultParagraphFont"/>
    <w:uiPriority w:val="99"/>
    <w:qFormat/>
    <w:rsid w:val="008364e8"/>
    <w:rPr/>
  </w:style>
  <w:style w:type="character" w:styleId="Style10" w:customStyle="1">
    <w:name w:val="[РГ] Инструкция для организатора"/>
    <w:basedOn w:val="DefaultParagraphFont"/>
    <w:uiPriority w:val="1"/>
    <w:qFormat/>
    <w:rsid w:val="00277346"/>
    <w:rPr>
      <w:i/>
      <w:iCs/>
      <w:shd w:fill="FFFF99" w:val="clear"/>
      <w:lang w:val="ru-RU"/>
    </w:rPr>
  </w:style>
  <w:style w:type="character" w:styleId="Style11" w:customStyle="1">
    <w:name w:val="Текст сноски Знак"/>
    <w:basedOn w:val="DefaultParagraphFont"/>
    <w:uiPriority w:val="99"/>
    <w:semiHidden/>
    <w:qFormat/>
    <w:rsid w:val="006608d1"/>
    <w:rPr>
      <w:sz w:val="20"/>
      <w:szCs w:val="20"/>
    </w:rPr>
  </w:style>
  <w:style w:type="character" w:styleId="Style12">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3"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4" w:customStyle="1">
    <w:name w:val="Текст примечания Знак"/>
    <w:basedOn w:val="DefaultParagraphFont"/>
    <w:link w:val="Annotationtext"/>
    <w:uiPriority w:val="99"/>
    <w:qFormat/>
    <w:rsid w:val="007e365e"/>
    <w:rPr>
      <w:sz w:val="20"/>
      <w:szCs w:val="20"/>
    </w:rPr>
  </w:style>
  <w:style w:type="character" w:styleId="Style15" w:customStyle="1">
    <w:name w:val="Тема примечания Знак"/>
    <w:basedOn w:val="Style14"/>
    <w:link w:val="Annotationsubject"/>
    <w:uiPriority w:val="99"/>
    <w:semiHidden/>
    <w:qFormat/>
    <w:rsid w:val="007e365e"/>
    <w:rPr>
      <w:b/>
      <w:bCs/>
      <w:sz w:val="20"/>
      <w:szCs w:val="20"/>
    </w:rPr>
  </w:style>
  <w:style w:type="character" w:styleId="Style16"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7"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8">
    <w:name w:val="Ссылка указателя"/>
    <w:qFormat/>
    <w:rPr/>
  </w:style>
  <w:style w:type="character" w:styleId="Emphasis">
    <w:name w:val="Emphasis"/>
    <w:qFormat/>
    <w:rPr>
      <w:i/>
      <w:iCs/>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name w:val="Колонтитул"/>
    <w:basedOn w:val="Normal"/>
    <w:qFormat/>
    <w:pPr/>
    <w:rPr/>
  </w:style>
  <w:style w:type="paragraph" w:styleId="Header">
    <w:name w:val="Header"/>
    <w:basedOn w:val="Normal"/>
    <w:link w:val="Style8"/>
    <w:uiPriority w:val="99"/>
    <w:unhideWhenUsed/>
    <w:rsid w:val="00c95e18"/>
    <w:pPr>
      <w:spacing w:before="0" w:after="120"/>
      <w:jc w:val="center"/>
    </w:pPr>
    <w:rPr/>
  </w:style>
  <w:style w:type="paragraph" w:styleId="Footer">
    <w:name w:val="Footer"/>
    <w:basedOn w:val="Normal"/>
    <w:link w:val="Style9"/>
    <w:uiPriority w:val="99"/>
    <w:unhideWhenUsed/>
    <w:rsid w:val="008364e8"/>
    <w:pPr>
      <w:jc w:val="right"/>
    </w:pPr>
    <w:rPr/>
  </w:style>
  <w:style w:type="paragraph" w:styleId="FootnoteText">
    <w:name w:val="Footnote Text"/>
    <w:basedOn w:val="Normal"/>
    <w:link w:val="Style11"/>
    <w:uiPriority w:val="99"/>
    <w:semiHidden/>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20"/>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20"/>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4"/>
    <w:uiPriority w:val="99"/>
    <w:unhideWhenUsed/>
    <w:qFormat/>
    <w:rsid w:val="007e365e"/>
    <w:pPr/>
    <w:rPr>
      <w:sz w:val="20"/>
      <w:szCs w:val="20"/>
    </w:rPr>
  </w:style>
  <w:style w:type="paragraph" w:styleId="Annotationsubject">
    <w:name w:val="annotation subject"/>
    <w:basedOn w:val="Annotationtext"/>
    <w:next w:val="Annotationtext"/>
    <w:link w:val="Style15"/>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7"/>
    <w:uiPriority w:val="99"/>
    <w:semiHidden/>
    <w:unhideWhenUsed/>
    <w:qFormat/>
    <w:rsid w:val="0079507d"/>
    <w:pPr>
      <w:spacing w:before="0" w:after="0"/>
    </w:pPr>
    <w:rPr>
      <w:rFonts w:ascii="Segoe UI" w:hAnsi="Segoe UI" w:cs="Segoe UI"/>
      <w:sz w:val="18"/>
      <w:szCs w:val="18"/>
    </w:rPr>
  </w:style>
  <w:style w:type="paragraph" w:styleId="Tableheader">
    <w:name w:val="Table_header"/>
    <w:basedOn w:val="Normal"/>
    <w:qFormat/>
    <w:pPr/>
    <w:rPr>
      <w:b/>
      <w:sz w:val="20"/>
      <w:szCs w:val="24"/>
    </w:rPr>
  </w:style>
  <w:style w:type="paragraph" w:styleId="3">
    <w:name w:val="УРОВЕНЬ_Абзац_тип3"/>
    <w:basedOn w:val="ListParagraph"/>
    <w:qFormat/>
    <w:pPr>
      <w:tabs>
        <w:tab w:val="clear" w:pos="720"/>
        <w:tab w:val="left" w:pos="1440" w:leader="none"/>
        <w:tab w:val="left" w:pos="2880" w:leader="none"/>
      </w:tabs>
      <w:spacing w:lineRule="exact" w:line="360" w:before="120" w:after="0"/>
      <w:ind w:left="0" w:hanging="1440"/>
      <w:contextualSpacing w:val="false"/>
      <w:jc w:val="both"/>
    </w:pPr>
    <w:rPr>
      <w:rFonts w:cs="Times New Roman"/>
      <w:szCs w:val="28"/>
    </w:rPr>
  </w:style>
  <w:style w:type="paragraph" w:styleId="2">
    <w:name w:val="УРОВЕНЬ_Абзац_тип2"/>
    <w:basedOn w:val="ListParagraph"/>
    <w:qFormat/>
    <w:pPr>
      <w:tabs>
        <w:tab w:val="clear" w:pos="720"/>
        <w:tab w:val="left" w:pos="360" w:leader="none"/>
        <w:tab w:val="left" w:pos="1440" w:leader="none"/>
        <w:tab w:val="left" w:pos="2736" w:leader="none"/>
      </w:tabs>
      <w:spacing w:lineRule="exact" w:line="360" w:before="120" w:after="0"/>
      <w:ind w:left="1701" w:hanging="1440"/>
      <w:contextualSpacing w:val="false"/>
      <w:jc w:val="both"/>
    </w:pPr>
    <w:rPr>
      <w:rFonts w:cs="Times New Roman"/>
      <w:szCs w:val="28"/>
    </w:rPr>
  </w:style>
  <w:style w:type="paragraph" w:styleId="-">
    <w:name w:val="УРОВЕНЬ_-"/>
    <w:basedOn w:val="ListParagraph"/>
    <w:qFormat/>
    <w:pPr>
      <w:tabs>
        <w:tab w:val="clear" w:pos="720"/>
        <w:tab w:val="left" w:pos="360" w:leader="none"/>
        <w:tab w:val="left" w:pos="1077" w:leader="none"/>
        <w:tab w:val="left" w:pos="1576" w:leader="none"/>
      </w:tabs>
      <w:spacing w:lineRule="exact" w:line="360" w:before="120" w:after="0"/>
      <w:ind w:left="2268" w:hanging="567"/>
      <w:contextualSpacing w:val="false"/>
      <w:jc w:val="both"/>
      <w:outlineLvl w:val="4"/>
    </w:pPr>
    <w:rPr>
      <w:rFonts w:cs="Times New Roman"/>
      <w:szCs w:val="28"/>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5">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6">
    <w:name w:val="Table Grid"/>
    <w:basedOn w:val="a6"/>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OFFICE@RUSHYDRO.RU" TargetMode="External"/><Relationship Id="rId4" Type="http://schemas.openxmlformats.org/officeDocument/2006/relationships/hyperlink" Target="mailto:KukushkinaVB@rushydro.ru" TargetMode="External"/><Relationship Id="rId5" Type="http://schemas.openxmlformats.org/officeDocument/2006/relationships/hyperlink" Target="mailto:KukushkinaVB@rushydro.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package" Target="embeddings/oleObject1.docx"/><Relationship Id="rId13" Type="http://schemas.openxmlformats.org/officeDocument/2006/relationships/image" Target="media/image2.wmf"/><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package" Target="embeddings/oleObject2.docx"/><Relationship Id="rId23" Type="http://schemas.openxmlformats.org/officeDocument/2006/relationships/image" Target="media/image3.wmf"/><Relationship Id="rId24" Type="http://schemas.openxmlformats.org/officeDocument/2006/relationships/package" Target="embeddings/oleObject3.docx"/><Relationship Id="rId25" Type="http://schemas.openxmlformats.org/officeDocument/2006/relationships/image" Target="media/image4.wmf"/><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header" Target="header10.xml"/><Relationship Id="rId31" Type="http://schemas.openxmlformats.org/officeDocument/2006/relationships/header" Target="header11.xml"/><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header" Target="header12.xml"/><Relationship Id="rId35" Type="http://schemas.openxmlformats.org/officeDocument/2006/relationships/header" Target="header13.xml"/><Relationship Id="rId36" Type="http://schemas.openxmlformats.org/officeDocument/2006/relationships/footer" Target="footer12.xml"/><Relationship Id="rId37" Type="http://schemas.openxmlformats.org/officeDocument/2006/relationships/footer" Target="footer13.xml"/><Relationship Id="rId38" Type="http://schemas.openxmlformats.org/officeDocument/2006/relationships/package" Target="embeddings/oleObject4.xlsx"/><Relationship Id="rId39" Type="http://schemas.openxmlformats.org/officeDocument/2006/relationships/image" Target="media/image5.wmf"/><Relationship Id="rId40" Type="http://schemas.openxmlformats.org/officeDocument/2006/relationships/header" Target="header14.xml"/><Relationship Id="rId41" Type="http://schemas.openxmlformats.org/officeDocument/2006/relationships/header" Target="header15.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footnotes" Target="footnotes.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Relationship Id="rId4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EA78-67BE-4F9F-A3C1-C98635A4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Application>AlterOffice/3.4.0.9$Linux_X86_64 LibreOffice_project/b8daf9e823b1a5463a2f48435ddc2e8696e7d4fc</Application>
  <AppVersion>15.0000</AppVersion>
  <Pages>78</Pages>
  <Words>19181</Words>
  <Characters>133145</Characters>
  <CharactersWithSpaces>150709</CharactersWithSpaces>
  <Paragraphs>1109</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kukushkinavb@corp.gidroogk.com</cp:lastModifiedBy>
  <dcterms:modified xsi:type="dcterms:W3CDTF">2026-06-16T08:52:01Z</dcterms:modified>
  <cp:revision>178</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