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2"/>
        <w:gridCol w:w="1237"/>
        <w:gridCol w:w="409"/>
        <w:gridCol w:w="1763"/>
        <w:gridCol w:w="323"/>
        <w:gridCol w:w="280"/>
        <w:gridCol w:w="4394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4"/>
        </w:numPr>
        <w:ind w:left="57" w:right="57" w:hanging="0"/>
        <w:jc w:val="center"/>
        <w:rPr/>
      </w:pPr>
      <w:r>
        <w:rPr>
          <w:b/>
          <w:szCs w:val="24"/>
        </w:rPr>
        <w:t xml:space="preserve">Запрос технико-коммерческого предложения в рамках оказания услуг </w:t>
      </w:r>
      <w:r>
        <w:rPr>
          <w:rFonts w:eastAsia="Calibri" w:cs="" w:cstheme="minorBidi" w:eastAsiaTheme="minorHAnsi"/>
          <w:b/>
          <w:bCs/>
          <w:szCs w:val="24"/>
        </w:rPr>
        <w:t>ОКПД 2: 33.17 Услуги по техническому обслуживанию приборов безопасности на подъемных сооружениях в Чукотском автономном округе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технико-коммерческих предложений потенциальных поставщиков в рамках закупки на право заключен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>ия договора по ОКПД 2: 33.17 Услуги по техническому обслуживанию приборов безопасности на подъемных сооружениях в Чукотском автономном округе для нужд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до 08:00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22.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06.2026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0516160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8A14-6E21-4DBC-A401-543928FB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AlterOffice/3.4.0.9$Linux_X86_64 LibreOffice_project/b8daf9e823b1a5463a2f48435ddc2e8696e7d4fc</Application>
  <AppVersion>15.0000</AppVersion>
  <Pages>2</Pages>
  <Words>532</Words>
  <Characters>3703</Characters>
  <CharactersWithSpaces>4183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2025-06-19T23:59:00Z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2026-06-16T15:29:31Z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