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lang w:val="ru-RU"/>
        </w:rPr>
      </w:pPr>
      <w:r>
        <w:rPr>
          <w:lang w:val="ru-RU"/>
        </w:rPr>
        <w:t>Приложение №2 к ДоЗ</w:t>
      </w:r>
    </w:p>
    <w:p>
      <w:pPr>
        <w:pStyle w:val="Normal"/>
        <w:jc w:val="center"/>
        <w:rPr>
          <w:b/>
          <w:lang w:val="ru-RU"/>
        </w:rPr>
      </w:pPr>
      <w:r>
        <w:rPr>
          <w:b/>
          <w:lang w:val="ru-RU"/>
        </w:rPr>
      </w:r>
    </w:p>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tab/>
      </w:r>
      <w:bookmarkStart w:id="0" w:name="OLE_LINK1"/>
      <w:bookmarkStart w:id="1" w:name="OLE_LINK2"/>
      <w:r>
        <w:rPr>
          <w:lang w:val="ru-RU"/>
        </w:rPr>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Директора Камчатского филиала АО «ТК РусГидро» Нешева Михаила Вячеславовича действующего на основании доверенности №811 от 12.11.2025,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w:t>
      </w:r>
      <w:r>
        <w:rPr>
          <w:bCs/>
          <w:sz w:val="24"/>
          <w:szCs w:val="24"/>
          <w:lang w:val="ru-RU"/>
        </w:rPr>
        <w:t xml:space="preserve"> </w:t>
      </w:r>
      <w:r>
        <w:rPr>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техническому обслуживанию приборов безопасности на подъемных сооружениях в Чукотском автономном округе для нужд Камчатского филиала АО "ТК РусГидро"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8"/>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lang w:val="ru-RU"/>
        </w:rPr>
        <w:t xml:space="preserve">Чукотский автономный округ </w:t>
      </w:r>
      <w:r>
        <w:rPr>
          <w:lang w:val="ru-RU"/>
        </w:rPr>
        <w:t xml:space="preserve">г. </w:t>
      </w:r>
      <w:r>
        <w:rPr>
          <w:lang w:val="ru-RU"/>
        </w:rPr>
        <w:t>Анадырь</w:t>
      </w:r>
      <w:r>
        <w:rPr>
          <w:lang w:val="ru-RU"/>
        </w:rPr>
        <w:t xml:space="preserve">, г. </w:t>
      </w:r>
      <w:r>
        <w:rPr>
          <w:lang w:val="ru-RU"/>
        </w:rPr>
        <w:t>Билибино</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 c даты заключения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31.12.2027 г.</w:t>
      </w:r>
    </w:p>
    <w:p>
      <w:pPr>
        <w:pStyle w:val="Normal"/>
        <w:widowControl w:val="false"/>
        <w:shd w:val="clear" w:color="auto" w:fill="FFFFFF"/>
        <w:tabs>
          <w:tab w:val="clear" w:pos="708"/>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8"/>
          <w:tab w:val="left" w:pos="1418" w:leader="none"/>
        </w:tabs>
        <w:ind w:left="0" w:firstLine="709"/>
        <w:jc w:val="both"/>
        <w:rPr/>
      </w:pPr>
      <w:r>
        <w:rPr/>
        <w:t>Указанные материалы, документы, сведения и информация предоставляются Заказчиком Исполнителю с приложением их полного перечня не позднее 5 (пяти)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2"/>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2"/>
        </w:numPr>
        <w:shd w:val="clear" w:color="auto" w:fill="FFFFFF"/>
        <w:tabs>
          <w:tab w:val="clear" w:pos="708"/>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2"/>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2"/>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8"/>
        </w:numPr>
        <w:shd w:val="clear" w:color="auto" w:fill="FFFFFF"/>
        <w:tabs>
          <w:tab w:val="clear" w:pos="708"/>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8"/>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pPr>
        <w:pStyle w:val="ListParagraph"/>
        <w:numPr>
          <w:ilvl w:val="2"/>
          <w:numId w:val="18"/>
        </w:numPr>
        <w:shd w:val="clear" w:color="auto" w:fill="FFFFFF"/>
        <w:tabs>
          <w:tab w:val="clear" w:pos="708"/>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8"/>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8"/>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8"/>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8"/>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8"/>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8"/>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8"/>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8"/>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8"/>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8"/>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
        </w:numPr>
        <w:shd w:val="clear" w:color="auto" w:fill="FFFFFF"/>
        <w:tabs>
          <w:tab w:val="clear" w:pos="708"/>
          <w:tab w:val="left" w:pos="1418" w:leader="none"/>
        </w:tabs>
        <w:ind w:left="0" w:firstLine="709"/>
        <w:jc w:val="both"/>
        <w:rPr/>
      </w:pPr>
      <w:r>
        <w:rPr/>
        <w:t>Подписать акты сверки взаимных расчетов, направленных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8"/>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8"/>
        </w:numPr>
        <w:shd w:val="clear" w:color="auto" w:fill="FFFFFF"/>
        <w:tabs>
          <w:tab w:val="clear" w:pos="708"/>
          <w:tab w:val="left" w:pos="1134" w:leader="none"/>
        </w:tabs>
        <w:ind w:left="0" w:firstLine="709"/>
        <w:jc w:val="both"/>
        <w:rPr>
          <w:bCs/>
          <w:u w:val="single"/>
        </w:rPr>
      </w:pPr>
      <w:r>
        <w:rPr>
          <w:bCs/>
          <w:u w:val="single"/>
        </w:rPr>
        <w:t>Исполнитель имеет право:</w:t>
      </w:r>
    </w:p>
    <w:p>
      <w:pPr>
        <w:pStyle w:val="ListParagraph"/>
        <w:numPr>
          <w:ilvl w:val="2"/>
          <w:numId w:val="18"/>
        </w:numPr>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 (десять) процентов</w:t>
      </w:r>
      <w:r>
        <w:rPr>
          <w:rStyle w:val="FootnoteReference"/>
        </w:rPr>
        <w:footnoteReference w:id="2"/>
      </w:r>
      <w:r>
        <w:rPr>
          <w:bCs/>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сведения об объемах оказываемых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3"/>
        </w:numPr>
        <w:shd w:val="clear" w:color="auto" w:fill="FFFFFF"/>
        <w:tabs>
          <w:tab w:val="clear" w:pos="708"/>
          <w:tab w:val="left" w:pos="284" w:leader="none"/>
        </w:tabs>
        <w:ind w:left="0" w:hanging="0"/>
        <w:jc w:val="center"/>
        <w:rPr>
          <w:b/>
        </w:rPr>
      </w:pPr>
      <w:r>
        <w:rPr>
          <w:b/>
        </w:rPr>
        <w:t>Порядок оказания и сдачи-приемки Услуг</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gritskikhea@rushydro.ru.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9"/>
        </w:numPr>
        <w:tabs>
          <w:tab w:val="clear" w:pos="708"/>
          <w:tab w:val="left" w:pos="1418" w:leader="none"/>
        </w:tabs>
        <w:ind w:left="0" w:firstLine="709"/>
        <w:jc w:val="both"/>
        <w:rPr/>
      </w:pPr>
      <w:r>
        <w:rPr/>
        <w:t>подтверждает Исполнителю согласие с Расчетом стоимости;</w:t>
      </w:r>
    </w:p>
    <w:p>
      <w:pPr>
        <w:pStyle w:val="ListParagraph"/>
        <w:numPr>
          <w:ilvl w:val="0"/>
          <w:numId w:val="19"/>
        </w:numPr>
        <w:tabs>
          <w:tab w:val="clear" w:pos="708"/>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9"/>
        </w:numPr>
        <w:tabs>
          <w:tab w:val="clear" w:pos="708"/>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gritskikhea@rushydro.ru с последующим направлением оригиналов по адресу, указанному в разделе 16 Договора.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8"/>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0"/>
        </w:numPr>
        <w:tabs>
          <w:tab w:val="clear" w:pos="708"/>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0"/>
        </w:numPr>
        <w:shd w:val="clear" w:color="auto" w:fill="FFFFFF"/>
        <w:tabs>
          <w:tab w:val="clear" w:pos="708"/>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(Приложение № 1 к Договору). </w:t>
      </w:r>
    </w:p>
    <w:p>
      <w:pPr>
        <w:pStyle w:val="ListParagraph"/>
        <w:numPr>
          <w:ilvl w:val="1"/>
          <w:numId w:val="20"/>
        </w:numPr>
        <w:shd w:val="clear" w:color="auto" w:fill="FFFFFF"/>
        <w:tabs>
          <w:tab w:val="clear" w:pos="708"/>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0"/>
        </w:numPr>
        <w:shd w:val="clear" w:color="auto" w:fill="FFFFFF"/>
        <w:tabs>
          <w:tab w:val="clear" w:pos="708"/>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8"/>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0"/>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20"/>
        </w:numPr>
        <w:tabs>
          <w:tab w:val="clear" w:pos="708"/>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8"/>
          <w:tab w:val="left" w:pos="284" w:leader="none"/>
          <w:tab w:val="left" w:pos="1134" w:leader="none"/>
        </w:tabs>
        <w:ind w:left="0" w:hanging="0"/>
        <w:jc w:val="both"/>
        <w:rPr/>
      </w:pPr>
      <w:r>
        <w:rPr/>
      </w:r>
    </w:p>
    <w:p>
      <w:pPr>
        <w:pStyle w:val="Normal"/>
        <w:shd w:val="clear" w:color="auto" w:fill="FFFFFF"/>
        <w:tabs>
          <w:tab w:val="clear" w:pos="708"/>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4.1. Стоимость Услуг по Договору (Цена Договора) в соответствии с Расчетом стоимости Услуг (Приложение № 3 к Договору)</w:t>
      </w:r>
      <w:r>
        <w:rPr>
          <w:rStyle w:val="FootnoteReference"/>
          <w:lang w:val="ru-RU"/>
        </w:rPr>
        <w:footnoteReference w:id="3"/>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1"/>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1"/>
        </w:numPr>
        <w:shd w:val="clear" w:color="auto" w:fill="FFFFFF"/>
        <w:tabs>
          <w:tab w:val="clear" w:pos="708"/>
          <w:tab w:val="left" w:pos="710"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1"/>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21"/>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1134" w:leader="none"/>
        </w:tabs>
        <w:ind w:left="0" w:firstLine="709"/>
        <w:jc w:val="both"/>
        <w:rPr/>
      </w:pPr>
      <w:r>
        <w:rPr/>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 / 7 (семи) рабочих дней</w:t>
      </w:r>
      <w:r>
        <w:rPr>
          <w:rStyle w:val="FootnoteReference"/>
        </w:rPr>
        <w:footnoteReference w:customMarkFollows="1" w:id="4"/>
        <w:t>4</w:t>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 </w:t>
      </w:r>
    </w:p>
    <w:p>
      <w:pPr>
        <w:pStyle w:val="ListParagraph"/>
        <w:numPr>
          <w:ilvl w:val="1"/>
          <w:numId w:val="21"/>
        </w:numPr>
        <w:shd w:val="clear" w:color="auto" w:fill="FFFFFF"/>
        <w:tabs>
          <w:tab w:val="clear" w:pos="708"/>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1"/>
        </w:numPr>
        <w:shd w:val="clear" w:color="auto" w:fill="FFFFFF"/>
        <w:tabs>
          <w:tab w:val="clear" w:pos="708"/>
          <w:tab w:val="left" w:pos="1134" w:leader="none"/>
        </w:tabs>
        <w:ind w:left="0" w:firstLine="709"/>
        <w:jc w:val="both"/>
        <w:rPr/>
      </w:pPr>
      <w:r>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21"/>
        </w:numPr>
        <w:shd w:val="clear" w:color="auto" w:fill="FFFFFF"/>
        <w:tabs>
          <w:tab w:val="clear" w:pos="708"/>
          <w:tab w:val="left" w:pos="1134" w:leader="none"/>
        </w:tabs>
        <w:ind w:left="0" w:firstLine="709"/>
        <w:jc w:val="both"/>
        <w:rPr/>
      </w:pPr>
      <w:r>
        <w:rPr/>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w:t>
      </w:r>
    </w:p>
    <w:p>
      <w:pPr>
        <w:pStyle w:val="ListParagraph"/>
        <w:shd w:val="clear" w:color="auto" w:fill="FFFFFF"/>
        <w:tabs>
          <w:tab w:val="clear" w:pos="708"/>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1134" w:leader="none"/>
        </w:tabs>
        <w:jc w:val="center"/>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4"/>
        </w:numPr>
        <w:tabs>
          <w:tab w:val="clear" w:pos="708"/>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просрочка (неустойка с 1 по 30 день просрочка не начисляется),</w:t>
      </w:r>
      <w:bookmarkStart w:id="8" w:name="_GoBack"/>
      <w:bookmarkEnd w:id="8"/>
      <w:r>
        <w:rPr>
          <w:bCs/>
          <w:lang w:val="ru-RU"/>
        </w:rPr>
        <w:t xml:space="preserve"> но не более 5 (пяти) процентов от несвоевременно оплаченной суммы.</w:t>
      </w:r>
    </w:p>
    <w:p>
      <w:pPr>
        <w:pStyle w:val="ListParagraph"/>
        <w:numPr>
          <w:ilvl w:val="1"/>
          <w:numId w:val="14"/>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ListParagraph"/>
        <w:numPr>
          <w:ilvl w:val="1"/>
          <w:numId w:val="14"/>
        </w:numPr>
        <w:shd w:val="clear" w:color="auto" w:fill="FFFFFF"/>
        <w:tabs>
          <w:tab w:val="clear" w:pos="708"/>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4"/>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4"/>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4"/>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4"/>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276" w:leader="none"/>
        </w:tabs>
        <w:ind w:left="709" w:hanging="0"/>
        <w:jc w:val="both"/>
        <w:rPr>
          <w:bCs/>
        </w:rPr>
      </w:pPr>
      <w:r>
        <w:rPr>
          <w:bCs/>
        </w:rPr>
      </w:r>
    </w:p>
    <w:p>
      <w:pPr>
        <w:pStyle w:val="ListParagraph"/>
        <w:numPr>
          <w:ilvl w:val="0"/>
          <w:numId w:val="14"/>
        </w:numPr>
        <w:shd w:val="clear" w:color="auto" w:fill="FFFFFF"/>
        <w:tabs>
          <w:tab w:val="clear" w:pos="708"/>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0" w:hanging="0"/>
        <w:jc w:val="both"/>
        <w:rPr>
          <w:bCs/>
        </w:rPr>
      </w:pPr>
      <w:r>
        <w:rPr>
          <w:bCs/>
        </w:rPr>
      </w:r>
    </w:p>
    <w:p>
      <w:pPr>
        <w:pStyle w:val="ListParagraph"/>
        <w:numPr>
          <w:ilvl w:val="0"/>
          <w:numId w:val="15"/>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23"/>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3"/>
        </w:numPr>
        <w:tabs>
          <w:tab w:val="clear" w:pos="708"/>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3"/>
        </w:numPr>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3"/>
        </w:numPr>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3"/>
        </w:numPr>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3"/>
        </w:numPr>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3"/>
        </w:numPr>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3"/>
        </w:numPr>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3"/>
        </w:numPr>
        <w:tabs>
          <w:tab w:val="clear" w:pos="708"/>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3"/>
        </w:numPr>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3"/>
        </w:numPr>
        <w:tabs>
          <w:tab w:val="clear" w:pos="708"/>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3"/>
        </w:numPr>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3"/>
        </w:numPr>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Разрешение споров</w:t>
      </w:r>
    </w:p>
    <w:p>
      <w:pPr>
        <w:pStyle w:val="ListParagraph"/>
        <w:numPr>
          <w:ilvl w:val="1"/>
          <w:numId w:val="23"/>
        </w:numPr>
        <w:tabs>
          <w:tab w:val="clear" w:pos="708"/>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3"/>
        </w:numPr>
        <w:tabs>
          <w:tab w:val="clear" w:pos="708"/>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в соответствии с законодательством Российской Федерации.</w:t>
      </w:r>
    </w:p>
    <w:p>
      <w:pPr>
        <w:pStyle w:val="ListParagraph"/>
        <w:numPr>
          <w:ilvl w:val="1"/>
          <w:numId w:val="23"/>
        </w:numPr>
        <w:tabs>
          <w:tab w:val="clear" w:pos="708"/>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3"/>
        </w:numPr>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3"/>
        </w:numPr>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284" w:leader="none"/>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3"/>
        </w:numPr>
        <w:shd w:val="clear" w:color="auto" w:fill="FFFFFF"/>
        <w:tabs>
          <w:tab w:val="clear" w:pos="708"/>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23"/>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bCs/>
        </w:rPr>
      </w:pPr>
      <w:r>
        <w:rPr>
          <w:bCs/>
        </w:rPr>
      </w:r>
    </w:p>
    <w:p>
      <w:pPr>
        <w:pStyle w:val="ListParagraph"/>
        <w:numPr>
          <w:ilvl w:val="0"/>
          <w:numId w:val="23"/>
        </w:numPr>
        <w:shd w:val="clear" w:color="auto" w:fill="FFFFFF"/>
        <w:tabs>
          <w:tab w:val="clear" w:pos="708"/>
          <w:tab w:val="left" w:pos="426" w:leader="none"/>
          <w:tab w:val="left" w:pos="1418" w:leader="none"/>
        </w:tabs>
        <w:ind w:left="0" w:hanging="0"/>
        <w:jc w:val="center"/>
        <w:rPr>
          <w:bCs/>
        </w:rPr>
      </w:pPr>
      <w:r>
        <w:rPr>
          <w:b/>
          <w:bCs/>
        </w:rPr>
        <w:t>Особые положения</w:t>
      </w:r>
    </w:p>
    <w:p>
      <w:pPr>
        <w:pStyle w:val="ListParagraph"/>
        <w:numPr>
          <w:ilvl w:val="1"/>
          <w:numId w:val="23"/>
        </w:numPr>
        <w:shd w:val="clear" w:color="auto" w:fill="FFFFFF"/>
        <w:tabs>
          <w:tab w:val="clear" w:pos="708"/>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3"/>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3"/>
        </w:numPr>
        <w:shd w:val="clear" w:color="auto" w:fill="FFFFFF"/>
        <w:tabs>
          <w:tab w:val="clear" w:pos="708"/>
          <w:tab w:val="left" w:pos="1134" w:leader="none"/>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3"/>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3"/>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3"/>
        </w:numPr>
        <w:shd w:val="clear" w:color="auto" w:fill="FFFFFF"/>
        <w:tabs>
          <w:tab w:val="clear" w:pos="708"/>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3"/>
        </w:numPr>
        <w:shd w:val="clear" w:color="auto" w:fill="FFFFFF"/>
        <w:tabs>
          <w:tab w:val="clear" w:pos="708"/>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3"/>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3"/>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3"/>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3"/>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s>
        <w:ind w:left="0" w:hanging="0"/>
        <w:jc w:val="center"/>
        <w:rPr/>
      </w:pPr>
      <w:r>
        <w:rPr>
          <w:b/>
          <w:bCs/>
        </w:rPr>
        <w:t>Заключительные положения</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23"/>
        </w:numPr>
        <w:snapToGrid w:val="false"/>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lang w:val="ru-RU" w:eastAsia="en-US"/>
        </w:rPr>
        <w:footnoteReference w:id="5"/>
      </w:r>
      <w:r>
        <w:rPr>
          <w:lang w:val="ru-RU" w:eastAsia="en-US"/>
        </w:rPr>
        <w:t>.</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3"/>
        </w:numPr>
        <w:shd w:val="clear" w:color="auto" w:fill="FFFFFF"/>
        <w:tabs>
          <w:tab w:val="clear" w:pos="708"/>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3"/>
        </w:numPr>
        <w:shd w:val="clear" w:color="auto" w:fill="FFFFFF"/>
        <w:tabs>
          <w:tab w:val="clear" w:pos="708"/>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3"/>
        </w:numPr>
        <w:shd w:val="clear" w:color="auto" w:fill="FFFFFF"/>
        <w:tabs>
          <w:tab w:val="clear" w:pos="708"/>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3"/>
        </w:numPr>
        <w:shd w:val="clear" w:color="auto" w:fill="FFFFFF"/>
        <w:tabs>
          <w:tab w:val="clear" w:pos="708"/>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6"/>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7"/>
        </w:numPr>
        <w:shd w:val="clear" w:color="auto" w:fill="FFFFFF"/>
        <w:tabs>
          <w:tab w:val="clear" w:pos="708"/>
          <w:tab w:val="left" w:pos="426" w:leader="none"/>
        </w:tabs>
        <w:ind w:left="0" w:hanging="0"/>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8"/>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lang w:val="ru-RU"/>
        </w:rPr>
        <w:t>Приложение № 3 –</w:t>
      </w:r>
      <w:r>
        <w:rPr>
          <w:lang w:val="ru-RU" w:eastAsia="en-US"/>
        </w:rPr>
        <w:t xml:space="preserve"> 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pPr>
            <w:r>
              <w:rPr>
                <w:rFonts w:eastAsia="Calibri"/>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8"/>
          <w:tab w:val="left" w:pos="2700" w:leader="none"/>
        </w:tabs>
        <w:jc w:val="center"/>
        <w:rPr>
          <w:b/>
          <w:lang w:val="ru-RU"/>
        </w:rPr>
      </w:pPr>
      <w:r>
        <w:rPr>
          <w:b/>
          <w:lang w:val="ru-RU"/>
        </w:rPr>
        <w:t xml:space="preserve">ЗАЯВКА </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___.201 №______________</w:t>
      </w:r>
    </w:p>
    <w:p>
      <w:pPr>
        <w:pStyle w:val="Normal"/>
        <w:tabs>
          <w:tab w:val="clear" w:pos="708"/>
          <w:tab w:val="left" w:pos="2700" w:leader="none"/>
        </w:tabs>
        <w:jc w:val="center"/>
        <w:rPr>
          <w:lang w:val="ru-RU"/>
        </w:rPr>
      </w:pPr>
      <w:r>
        <w:rPr>
          <w:lang w:val="ru-RU"/>
        </w:rPr>
      </w:r>
    </w:p>
    <w:p>
      <w:pPr>
        <w:pStyle w:val="ListParagraph"/>
        <w:numPr>
          <w:ilvl w:val="0"/>
          <w:numId w:val="16"/>
        </w:numPr>
        <w:tabs>
          <w:tab w:val="clear" w:pos="708"/>
          <w:tab w:val="left" w:pos="1134" w:leader="none"/>
        </w:tabs>
        <w:ind w:left="0" w:firstLine="709"/>
        <w:rPr/>
      </w:pPr>
      <w:r>
        <w:rPr/>
        <w:t>Виды услуг:</w:t>
      </w:r>
    </w:p>
    <w:p>
      <w:pPr>
        <w:pStyle w:val="ListParagraph"/>
        <w:numPr>
          <w:ilvl w:val="0"/>
          <w:numId w:val="16"/>
        </w:numPr>
        <w:tabs>
          <w:tab w:val="clear" w:pos="708"/>
          <w:tab w:val="left" w:pos="1134" w:leader="none"/>
        </w:tabs>
        <w:ind w:left="0" w:firstLine="709"/>
        <w:rPr/>
      </w:pPr>
      <w:r>
        <w:rPr/>
        <w:t>Характеристика:</w:t>
        <w:tab/>
      </w:r>
    </w:p>
    <w:p>
      <w:pPr>
        <w:pStyle w:val="ListParagraph"/>
        <w:numPr>
          <w:ilvl w:val="0"/>
          <w:numId w:val="16"/>
        </w:numPr>
        <w:tabs>
          <w:tab w:val="clear" w:pos="708"/>
          <w:tab w:val="left" w:pos="1134" w:leader="none"/>
        </w:tabs>
        <w:ind w:left="0" w:firstLine="709"/>
        <w:rPr/>
      </w:pPr>
      <w:r>
        <w:rPr/>
        <w:t xml:space="preserve">Объем: </w:t>
      </w:r>
    </w:p>
    <w:p>
      <w:pPr>
        <w:pStyle w:val="ListParagraph"/>
        <w:numPr>
          <w:ilvl w:val="0"/>
          <w:numId w:val="16"/>
        </w:numPr>
        <w:tabs>
          <w:tab w:val="clear" w:pos="708"/>
          <w:tab w:val="left" w:pos="1134" w:leader="none"/>
        </w:tabs>
        <w:ind w:left="0" w:firstLine="709"/>
        <w:rPr/>
      </w:pPr>
      <w:r>
        <w:rPr/>
        <w:t>Качество:</w:t>
      </w:r>
    </w:p>
    <w:p>
      <w:pPr>
        <w:pStyle w:val="ListParagraph"/>
        <w:numPr>
          <w:ilvl w:val="0"/>
          <w:numId w:val="16"/>
        </w:numPr>
        <w:tabs>
          <w:tab w:val="clear" w:pos="708"/>
          <w:tab w:val="left" w:pos="1134" w:leader="none"/>
        </w:tabs>
        <w:ind w:left="0" w:firstLine="709"/>
        <w:rPr/>
      </w:pPr>
      <w:r>
        <w:rPr/>
        <w:t>Дополнительные параметры (при наличии):</w:t>
      </w:r>
    </w:p>
    <w:p>
      <w:pPr>
        <w:pStyle w:val="ListParagraph"/>
        <w:numPr>
          <w:ilvl w:val="0"/>
          <w:numId w:val="16"/>
        </w:numPr>
        <w:tabs>
          <w:tab w:val="clear" w:pos="708"/>
          <w:tab w:val="left" w:pos="1134" w:leader="none"/>
        </w:tabs>
        <w:ind w:left="0" w:firstLine="709"/>
        <w:rPr/>
      </w:pPr>
      <w:r>
        <w:rPr/>
        <w:t>Срок оказания:</w:t>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8"/>
          <w:tab w:val="left" w:pos="0" w:leader="none"/>
        </w:tabs>
        <w:jc w:val="center"/>
        <w:rPr>
          <w:b/>
          <w:lang w:val="ru-RU"/>
        </w:rPr>
      </w:pPr>
      <w:r>
        <w:rPr>
          <w:b/>
          <w:lang w:val="ru-RU"/>
        </w:rPr>
        <w:t xml:space="preserve">Расчет стоимости Услуг </w:t>
      </w:r>
    </w:p>
    <w:p>
      <w:pPr>
        <w:pStyle w:val="Normal"/>
        <w:tabs>
          <w:tab w:val="clear" w:pos="708"/>
          <w:tab w:val="left" w:pos="0" w:leader="none"/>
        </w:tabs>
        <w:jc w:val="center"/>
        <w:rPr>
          <w:b/>
          <w:lang w:val="ru-RU"/>
        </w:rPr>
      </w:pPr>
      <w:r>
        <w:rPr>
          <w:b/>
          <w:lang w:val="ru-RU"/>
        </w:rPr>
        <w:t>по Заявке №___ от «___»_____________________</w:t>
      </w:r>
    </w:p>
    <w:p>
      <w:pPr>
        <w:pStyle w:val="Normal"/>
        <w:tabs>
          <w:tab w:val="clear" w:pos="708"/>
          <w:tab w:val="left" w:pos="0" w:leader="none"/>
        </w:tabs>
        <w:jc w:val="center"/>
        <w:rPr>
          <w:lang w:val="ru-RU"/>
        </w:rPr>
      </w:pPr>
      <w:r>
        <w:rPr>
          <w:lang w:val="ru-RU"/>
        </w:rPr>
      </w:r>
    </w:p>
    <w:p>
      <w:pPr>
        <w:pStyle w:val="Normal"/>
        <w:tabs>
          <w:tab w:val="clear" w:pos="708"/>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3"/>
        <w:gridCol w:w="776"/>
        <w:gridCol w:w="670"/>
        <w:gridCol w:w="1209"/>
        <w:gridCol w:w="2297"/>
        <w:gridCol w:w="1354"/>
        <w:gridCol w:w="2170"/>
        <w:gridCol w:w="651"/>
      </w:tblGrid>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rHeight w:val="100" w:hRule="atLeast"/>
        </w:trPr>
        <w:tc>
          <w:tcPr>
            <w:tcW w:w="1113"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1"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r>
              <w:rPr>
                <w:i/>
                <w:iCs/>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pPr>
              <w:pStyle w:val="Normal"/>
              <w:widowControl w:val="false"/>
              <w:tabs>
                <w:tab w:val="clear" w:pos="708"/>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lang w:val="ru-RU"/>
              </w:rPr>
              <w:tab/>
              <w:t xml:space="preserve">Отчет об оказанных Услугах, на ______ листах.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p>
    <w:p>
      <w:pPr>
        <w:pStyle w:val="Normal"/>
        <w:jc w:val="right"/>
        <w:rPr>
          <w:sz w:val="16"/>
          <w:szCs w:val="16"/>
          <w:lang w:val="ru-RU"/>
        </w:rPr>
      </w:pPr>
      <w:r>
        <w:rPr>
          <w:sz w:val="16"/>
          <w:szCs w:val="16"/>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82"/>
        <w:gridCol w:w="848"/>
        <w:gridCol w:w="2829"/>
        <w:gridCol w:w="995"/>
        <w:gridCol w:w="3398"/>
        <w:gridCol w:w="2119"/>
        <w:gridCol w:w="2689"/>
        <w:gridCol w:w="2258"/>
      </w:tblGrid>
      <w:tr>
        <w:trPr>
          <w:trHeight w:val="1327" w:hRule="atLeast"/>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Субписполнителя; фирменное наименование (при наличии) (для юридического лица); фамилия, имя, отчество (для индивидуального предпринимателя)</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645"/>
        <w:gridCol w:w="2401"/>
        <w:gridCol w:w="1495"/>
        <w:gridCol w:w="1348"/>
        <w:gridCol w:w="1795"/>
        <w:gridCol w:w="1349"/>
        <w:gridCol w:w="1047"/>
        <w:gridCol w:w="1050"/>
        <w:gridCol w:w="3288"/>
      </w:tblGrid>
      <w:tr>
        <w:trPr>
          <w:trHeight w:val="1289" w:hRule="atLeast"/>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 xml:space="preserve">Критерий отнесения организации (микропредприятие/малое предприятие/средние предприятие) </w:t>
            </w:r>
            <w:r>
              <w:rPr>
                <w:rStyle w:val="FootnoteReference"/>
                <w:sz w:val="20"/>
                <w:szCs w:val="20"/>
                <w:lang w:val="ru-RU"/>
              </w:rPr>
              <w:footnoteReference w:id="7"/>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10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7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rPr>
                <w:b/>
                <w:lang w:val="ru-RU"/>
              </w:rPr>
            </w:pPr>
            <w:r>
              <w:rPr>
                <w:lang w:val="ru-RU"/>
              </w:rPr>
              <w:t xml:space="preserve">  </w:t>
            </w:r>
            <w:r>
              <w:rPr>
                <w:b/>
              </w:rPr>
              <w:t>Заказчик:</w:t>
            </w:r>
            <w:r>
              <w:rPr>
                <w:b/>
                <w:lang w:val="ru-RU"/>
              </w:rPr>
              <w:t xml:space="preserve"> </w:t>
            </w:r>
          </w:p>
        </w:tc>
        <w:tc>
          <w:tcPr>
            <w:tcW w:w="4785" w:type="dxa"/>
            <w:tcBorders/>
          </w:tcPr>
          <w:p>
            <w:pPr>
              <w:pStyle w:val="Normal"/>
              <w:widowControl w:val="false"/>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jc w:val="both"/>
        <w:rPr>
          <w:lang w:val="ru-RU"/>
        </w:rPr>
      </w:pPr>
      <w:r>
        <w:rPr>
          <w:rStyle w:val="Style6"/>
        </w:rPr>
        <w:t>4</w:t>
      </w:r>
      <w:r>
        <w:rPr>
          <w:rStyle w:val="Style6"/>
        </w:rPr>
        <w:t>44</w:t>
      </w:r>
      <w:r>
        <w:rPr>
          <w:rStyle w:val="Style6"/>
          <w:lang w:val="ru-RU"/>
        </w:rPr>
        <w:t>4</w:t>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lang w:val="ru-RU"/>
        </w:rPr>
      </w:pPr>
      <w:r>
        <w:rPr>
          <w:rStyle w:val="Style6"/>
        </w:rPr>
        <w:footnoteRef/>
      </w:r>
      <w:r>
        <w:rPr>
          <w:lang w:val="ru-RU"/>
        </w:rPr>
        <w:t xml:space="preserve"> </w:t>
      </w:r>
      <w:r>
        <w:rPr>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pPr>
        <w:pStyle w:val="FootnoteText"/>
        <w:rPr>
          <w:lang w:val="ru-RU"/>
        </w:rPr>
      </w:pPr>
      <w:r>
        <w:rPr/>
      </w:r>
    </w:p>
  </w:footnote>
  <w:footnote w:id="6">
    <w:p>
      <w:pPr>
        <w:pStyle w:val="FootnoteText"/>
        <w:jc w:val="both"/>
        <w:rPr>
          <w:lang w:val="ru-RU"/>
        </w:rPr>
      </w:pPr>
      <w:r>
        <w:rPr>
          <w:rStyle w:val="Style6"/>
        </w:rPr>
        <w:footnoteRef/>
      </w:r>
      <w:r>
        <w:rPr>
          <w:lang w:val="ru-RU"/>
        </w:rPr>
        <w:t xml:space="preserve"> </w:t>
      </w:r>
      <w:r>
        <w:rPr>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lang w:val="ru-RU"/>
        </w:rPr>
      </w:pPr>
      <w:r>
        <w:rPr>
          <w:rStyle w:val="Style6"/>
        </w:rPr>
        <w:footnoteRef/>
      </w:r>
      <w:r>
        <w:rPr>
          <w:lang w:val="ru-RU"/>
        </w:rPr>
        <w:t xml:space="preserve"> </w:t>
      </w:r>
      <w:r>
        <w:rPr>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0">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C4E7F6B-2EA8-469D-A80F-3B55A6CC126D}">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F2A396C-C0CD-474A-B1BE-1BD03A4DAB02}">
  <ds:schemaRefs>
    <ds:schemaRef ds:uri="http://schemas.openxmlformats.org/officeDocument/2006/bibliography"/>
  </ds:schemaRefs>
</ds:datastoreItem>
</file>

<file path=customXml/itemProps6.xml><?xml version="1.0" encoding="utf-8"?>
<ds:datastoreItem xmlns:ds="http://schemas.openxmlformats.org/officeDocument/2006/customXml" ds:itemID="{625FC9D1-B7DE-4331-92BB-FB80BBEA1E86}">
  <ds:schemaRefs>
    <ds:schemaRef ds:uri="http://schemas.openxmlformats.org/officeDocument/2006/bibliography"/>
  </ds:schemaRefs>
</ds:datastoreItem>
</file>

<file path=customXml/itemProps7.xml><?xml version="1.0" encoding="utf-8"?>
<ds:datastoreItem xmlns:ds="http://schemas.openxmlformats.org/officeDocument/2006/customXml" ds:itemID="{C3A266D5-8A92-4FA3-B33B-F9E652A1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Application>AlterOffice/3.4.0.9$Linux_X86_64 LibreOffice_project/b8daf9e823b1a5463a2f48435ddc2e8696e7d4fc</Application>
  <AppVersion>15.0000</AppVersion>
  <Pages>24</Pages>
  <Words>7969</Words>
  <Characters>56443</Characters>
  <CharactersWithSpaces>64400</CharactersWithSpaces>
  <Paragraphs>427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2020-06-09T22:42:00Z</dcterms:created>
  <dc:creator>UK VoHEC</dc:creator>
  <dc:description/>
  <dc:language>ru-RU</dc:language>
  <cp:lastModifiedBy>gritskikhea@corp.gidroogk.com</cp:lastModifiedBy>
  <cp:lastPrinted>2016-12-15T13:00:00Z</cp:lastPrinted>
  <dcterms:modified xsi:type="dcterms:W3CDTF">2026-06-16T16:23:15Z</dcterms:modified>
  <cp:revision>34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