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09" w:leader="none"/>
        </w:tabs>
        <w:jc w:val="right"/>
        <w:rPr>
          <w:sz w:val="24"/>
          <w:szCs w:val="22"/>
        </w:rPr>
      </w:pPr>
      <w:r>
        <w:rPr>
          <w:sz w:val="24"/>
          <w:szCs w:val="22"/>
        </w:rPr>
        <w:t>УТВЕРЖДАЮ</w:t>
      </w:r>
    </w:p>
    <w:p>
      <w:pPr>
        <w:pStyle w:val="Normal"/>
        <w:tabs>
          <w:tab w:val="clear" w:pos="708"/>
          <w:tab w:val="left" w:pos="709" w:leader="none"/>
        </w:tabs>
        <w:jc w:val="right"/>
        <w:rPr>
          <w:sz w:val="24"/>
          <w:szCs w:val="22"/>
        </w:rPr>
      </w:pPr>
      <w:r>
        <w:rPr>
          <w:sz w:val="24"/>
          <w:szCs w:val="22"/>
        </w:rPr>
        <w:t>Первый заместитель Генерального</w:t>
      </w:r>
    </w:p>
    <w:p>
      <w:pPr>
        <w:pStyle w:val="Normal"/>
        <w:tabs>
          <w:tab w:val="clear" w:pos="708"/>
          <w:tab w:val="left" w:pos="709" w:leader="none"/>
        </w:tabs>
        <w:jc w:val="right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директора - главный инженер </w:t>
      </w:r>
    </w:p>
    <w:p>
      <w:pPr>
        <w:pStyle w:val="Normal"/>
        <w:tabs>
          <w:tab w:val="clear" w:pos="708"/>
          <w:tab w:val="left" w:pos="709" w:leader="none"/>
        </w:tabs>
        <w:jc w:val="right"/>
        <w:rPr>
          <w:sz w:val="24"/>
          <w:szCs w:val="22"/>
        </w:rPr>
      </w:pPr>
      <w:r>
        <w:rPr>
          <w:sz w:val="24"/>
          <w:szCs w:val="22"/>
        </w:rPr>
        <w:t>АО "Сахаэнерго"</w:t>
      </w:r>
    </w:p>
    <w:p>
      <w:pPr>
        <w:pStyle w:val="Normal"/>
        <w:tabs>
          <w:tab w:val="clear" w:pos="708"/>
          <w:tab w:val="left" w:pos="709" w:leader="none"/>
        </w:tabs>
        <w:jc w:val="right"/>
        <w:rPr>
          <w:sz w:val="24"/>
          <w:szCs w:val="22"/>
        </w:rPr>
      </w:pPr>
      <w:r>
        <w:rPr>
          <w:sz w:val="24"/>
          <w:szCs w:val="22"/>
        </w:rPr>
        <w:t>______________/Копырин Н.М./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b/>
          <w:bCs/>
          <w:color w:val="000000"/>
          <w:sz w:val="24"/>
          <w:szCs w:val="24"/>
        </w:rPr>
        <w:t xml:space="preserve">ОКПД2 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23.99.19.110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Поставка съемных термочехлов на трубы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416506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_Toc124165064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16506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_Toc124165065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16506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_Toc124165066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165067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_Toc124165067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165068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_Toc124165068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165069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_Toc124165069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16507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_Toc124165070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165071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_Toc124165071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16507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_Toc124165072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165073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_Toc124165073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16507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_Toc124165074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165075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  <w:t>15</w:t>
            </w:r>
          </w:hyperlink>
          <w:r>
            <w:rPr/>
            <w:t>6</w:t>
          </w:r>
          <w:r>
            <w:rPr/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24165064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12416506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124165066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i/>
          <w:sz w:val="24"/>
          <w:szCs w:val="24"/>
          <w:lang w:eastAsia="x-none"/>
        </w:rPr>
        <w:t>«</w:t>
      </w:r>
      <w:r>
        <w:rPr>
          <w:rFonts w:eastAsia="Calibri" w:cs="Calibri" w:ascii="Times New Roman" w:hAnsi="Times New Roman"/>
          <w:i/>
          <w:color w:val="000000"/>
          <w:sz w:val="24"/>
          <w:szCs w:val="24"/>
          <w:lang w:eastAsia="x-none"/>
        </w:rPr>
        <w:t>Съемный термочехол на трубу</w:t>
      </w:r>
      <w:r>
        <w:rPr>
          <w:rFonts w:eastAsia="Calibri" w:ascii="Times New Roman" w:hAnsi="Times New Roman"/>
          <w:i/>
          <w:sz w:val="24"/>
          <w:szCs w:val="24"/>
          <w:lang w:eastAsia="x-none"/>
        </w:rPr>
        <w:t>»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124165067"/>
      <w:bookmarkStart w:id="7" w:name="_Toc51339693"/>
      <w:bookmarkStart w:id="8" w:name="_Toc46743510"/>
      <w:bookmarkStart w:id="9" w:name="_Toc50125126"/>
      <w:bookmarkEnd w:id="8"/>
      <w:bookmarkEnd w:id="9"/>
      <w:r>
        <w:rPr>
          <w:iCs/>
        </w:rPr>
        <w:t>Требования к 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10" w:name="_Toc124165068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>
      <w:pPr>
        <w:pStyle w:val="Heading3"/>
        <w:numPr>
          <w:ilvl w:val="2"/>
          <w:numId w:val="3"/>
        </w:numPr>
        <w:rPr/>
      </w:pPr>
      <w:bookmarkStart w:id="11" w:name="_Toc124165069"/>
      <w:r>
        <w:rPr>
          <w:lang w:val="ru-RU"/>
        </w:rPr>
        <w:t>Перечень и объем закупаемой продукции</w:t>
      </w:r>
      <w:bookmarkEnd w:id="1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124165070"/>
      <w:bookmarkStart w:id="13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W w:w="981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29"/>
        <w:gridCol w:w="2981"/>
        <w:gridCol w:w="795"/>
        <w:gridCol w:w="795"/>
        <w:gridCol w:w="1695"/>
        <w:gridCol w:w="3016"/>
      </w:tblGrid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Код ОКПД2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Съемный термочехол на трубу Ду 100 мм, длиной 0,3 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jc w:val="center"/>
              <w:rPr>
                <w:b w:val="false"/>
                <w:bCs w:val="false"/>
              </w:rPr>
            </w:pPr>
            <w:r>
              <w:rPr>
                <w:rStyle w:val="Strong"/>
                <w:rFonts w:eastAsia="Times New Roman" w:cs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23.99.19.110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становлено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hyperlink r:id="rId2" w:tgtFrame="https://login.consultant.ru/link/?req=doc&amp;base=LAW&amp;n=494318&amp;dst=100007">
              <w:r>
                <w:rPr>
                  <w:rFonts w:eastAsia="Times New Roman" w:cs="Times New Roman"/>
                  <w:b/>
                  <w:bCs/>
                  <w:i w:val="false"/>
                  <w:iCs w:val="false"/>
                  <w:color w:val="000000"/>
                  <w:kern w:val="0"/>
                  <w:sz w:val="24"/>
                  <w:szCs w:val="24"/>
                  <w:shd w:fill="auto" w:val="clear"/>
                  <w:lang w:val="ru-RU" w:eastAsia="ru-RU" w:bidi="ar-SA"/>
                </w:rPr>
                <w:t>ограничение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закупок товаров, происходящих из иностранных государств 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Съемный термочехол на трубу Ду 100 мм, длиной 0,4 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jc w:val="center"/>
              <w:rPr>
                <w:b w:val="false"/>
                <w:bCs w:val="false"/>
              </w:rPr>
            </w:pPr>
            <w:r>
              <w:rPr>
                <w:rStyle w:val="Strong"/>
                <w:rFonts w:eastAsia="Times New Roman" w:cs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23.99.19.110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становлено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hyperlink r:id="rId3" w:tgtFrame="https://login.consultant.ru/link/?req=doc&amp;base=LAW&amp;n=494318&amp;dst=100007">
              <w:r>
                <w:rPr>
                  <w:rFonts w:eastAsia="Times New Roman" w:cs="Times New Roman"/>
                  <w:b/>
                  <w:bCs/>
                  <w:i w:val="false"/>
                  <w:iCs w:val="false"/>
                  <w:color w:val="000000"/>
                  <w:kern w:val="0"/>
                  <w:sz w:val="24"/>
                  <w:szCs w:val="24"/>
                  <w:shd w:fill="auto" w:val="clear"/>
                  <w:lang w:val="ru-RU" w:eastAsia="ru-RU" w:bidi="ar-SA"/>
                </w:rPr>
                <w:t>ограничение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закупок товаров, происходящих из иностранных государств 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Съемный термочехол на трубу Ду 100 мм, длиной 0,5 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jc w:val="center"/>
              <w:rPr>
                <w:b w:val="false"/>
                <w:bCs w:val="false"/>
              </w:rPr>
            </w:pPr>
            <w:r>
              <w:rPr>
                <w:rStyle w:val="Strong"/>
                <w:rFonts w:eastAsia="Times New Roman" w:cs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23.99.19.110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становлено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hyperlink r:id="rId4" w:tgtFrame="https://login.consultant.ru/link/?req=doc&amp;base=LAW&amp;n=494318&amp;dst=100007">
              <w:r>
                <w:rPr>
                  <w:rFonts w:eastAsia="Times New Roman" w:cs="Times New Roman"/>
                  <w:b/>
                  <w:bCs/>
                  <w:i w:val="false"/>
                  <w:iCs w:val="false"/>
                  <w:color w:val="000000"/>
                  <w:kern w:val="0"/>
                  <w:sz w:val="24"/>
                  <w:szCs w:val="24"/>
                  <w:shd w:fill="auto" w:val="clear"/>
                  <w:lang w:val="ru-RU" w:eastAsia="ru-RU" w:bidi="ar-SA"/>
                </w:rPr>
                <w:t>ограничение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закупок товаров, происходящих из иностранных государств 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Съемный термочехол на трубу Ду 100 мм, длиной 0,8 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jc w:val="center"/>
              <w:rPr>
                <w:b w:val="false"/>
                <w:bCs w:val="false"/>
              </w:rPr>
            </w:pPr>
            <w:r>
              <w:rPr>
                <w:rStyle w:val="Strong"/>
                <w:rFonts w:eastAsia="Times New Roman" w:cs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23.99.19.110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становлено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hyperlink r:id="rId5" w:tgtFrame="https://login.consultant.ru/link/?req=doc&amp;base=LAW&amp;n=494318&amp;dst=100007">
              <w:r>
                <w:rPr>
                  <w:rFonts w:eastAsia="Times New Roman" w:cs="Times New Roman"/>
                  <w:b/>
                  <w:bCs/>
                  <w:i w:val="false"/>
                  <w:iCs w:val="false"/>
                  <w:color w:val="000000"/>
                  <w:kern w:val="0"/>
                  <w:sz w:val="24"/>
                  <w:szCs w:val="24"/>
                  <w:shd w:fill="auto" w:val="clear"/>
                  <w:lang w:val="ru-RU" w:eastAsia="ru-RU" w:bidi="ar-SA"/>
                </w:rPr>
                <w:t>ограничение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закупок товаров, происходящих из иностранных государств </w:t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Съемный термочехол на трубу Ду 100 мм, длиной 0,9 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jc w:val="center"/>
              <w:rPr>
                <w:b w:val="false"/>
                <w:bCs w:val="false"/>
              </w:rPr>
            </w:pPr>
            <w:r>
              <w:rPr>
                <w:rStyle w:val="Strong"/>
                <w:rFonts w:eastAsia="Times New Roman" w:cs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23.99.19.110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становлено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hyperlink r:id="rId6" w:tgtFrame="https://login.consultant.ru/link/?req=doc&amp;base=LAW&amp;n=494318&amp;dst=100007">
              <w:r>
                <w:rPr>
                  <w:rFonts w:eastAsia="Times New Roman" w:cs="Times New Roman"/>
                  <w:b/>
                  <w:bCs/>
                  <w:i w:val="false"/>
                  <w:iCs w:val="false"/>
                  <w:color w:val="000000"/>
                  <w:kern w:val="0"/>
                  <w:sz w:val="24"/>
                  <w:szCs w:val="24"/>
                  <w:shd w:fill="auto" w:val="clear"/>
                  <w:lang w:val="ru-RU" w:eastAsia="ru-RU" w:bidi="ar-SA"/>
                </w:rPr>
                <w:t>ограничение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закупок товаров, происходящих из иностранных государств </w:t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Съемный термочехол на трубу Ду 100 мм, длиной 1,0 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jc w:val="center"/>
              <w:rPr>
                <w:b w:val="false"/>
                <w:bCs w:val="false"/>
              </w:rPr>
            </w:pPr>
            <w:r>
              <w:rPr>
                <w:rStyle w:val="Strong"/>
                <w:rFonts w:eastAsia="Times New Roman" w:cs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23.99.19.110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становлено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hyperlink r:id="rId7" w:tgtFrame="https://login.consultant.ru/link/?req=doc&amp;base=LAW&amp;n=494318&amp;dst=100007">
              <w:r>
                <w:rPr>
                  <w:rFonts w:eastAsia="Times New Roman" w:cs="Times New Roman"/>
                  <w:b/>
                  <w:bCs/>
                  <w:i w:val="false"/>
                  <w:iCs w:val="false"/>
                  <w:color w:val="000000"/>
                  <w:kern w:val="0"/>
                  <w:sz w:val="24"/>
                  <w:szCs w:val="24"/>
                  <w:shd w:fill="auto" w:val="clear"/>
                  <w:lang w:val="ru-RU" w:eastAsia="ru-RU" w:bidi="ar-SA"/>
                </w:rPr>
                <w:t>ограничение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закупок товаров, происходящих из иностранных государств </w:t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Съемный термочехол на трубу Ду 100 мм, длиной 1,2 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jc w:val="center"/>
              <w:rPr>
                <w:b w:val="false"/>
                <w:bCs w:val="false"/>
              </w:rPr>
            </w:pPr>
            <w:r>
              <w:rPr>
                <w:rStyle w:val="Strong"/>
                <w:rFonts w:eastAsia="Times New Roman" w:cs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23.99.19.110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становлено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hyperlink r:id="rId8" w:tgtFrame="https://login.consultant.ru/link/?req=doc&amp;base=LAW&amp;n=494318&amp;dst=100007">
              <w:r>
                <w:rPr>
                  <w:rFonts w:eastAsia="Times New Roman" w:cs="Times New Roman"/>
                  <w:b/>
                  <w:bCs/>
                  <w:i w:val="false"/>
                  <w:iCs w:val="false"/>
                  <w:color w:val="000000"/>
                  <w:kern w:val="0"/>
                  <w:sz w:val="24"/>
                  <w:szCs w:val="24"/>
                  <w:shd w:fill="auto" w:val="clear"/>
                  <w:lang w:val="ru-RU" w:eastAsia="ru-RU" w:bidi="ar-SA"/>
                </w:rPr>
                <w:t>ограничение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закупок товаров, происходящих из иностранных государств </w:t>
            </w:r>
          </w:p>
        </w:tc>
      </w:tr>
      <w:tr>
        <w:trPr/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Съемный термочехол на трубу Ду 80 мм, длиной 0,7 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jc w:val="center"/>
              <w:rPr>
                <w:b w:val="false"/>
                <w:bCs w:val="false"/>
              </w:rPr>
            </w:pPr>
            <w:r>
              <w:rPr>
                <w:rStyle w:val="Strong"/>
                <w:rFonts w:eastAsia="Times New Roman" w:cs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23.99.19.110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становлено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hyperlink r:id="rId9" w:tgtFrame="https://login.consultant.ru/link/?req=doc&amp;base=LAW&amp;n=494318&amp;dst=100007">
              <w:r>
                <w:rPr>
                  <w:rFonts w:eastAsia="Times New Roman" w:cs="Times New Roman"/>
                  <w:b/>
                  <w:bCs/>
                  <w:i w:val="false"/>
                  <w:iCs w:val="false"/>
                  <w:color w:val="000000"/>
                  <w:kern w:val="0"/>
                  <w:sz w:val="24"/>
                  <w:szCs w:val="24"/>
                  <w:shd w:fill="auto" w:val="clear"/>
                  <w:lang w:val="ru-RU" w:eastAsia="ru-RU" w:bidi="ar-SA"/>
                </w:rPr>
                <w:t>ограничение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закупок товаров, происходящих из иностранных государств </w:t>
            </w:r>
          </w:p>
        </w:tc>
      </w:tr>
    </w:tbl>
    <w:p>
      <w:pPr>
        <w:pStyle w:val="Heading3"/>
        <w:numPr>
          <w:ilvl w:val="0"/>
          <w:numId w:val="0"/>
        </w:numPr>
        <w:ind w:left="1224" w:hanging="0"/>
        <w:rPr>
          <w:lang w:val="ru-RU"/>
        </w:rPr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4" w:name="_Toc124165071"/>
      <w:bookmarkStart w:id="15" w:name="_Toc51339696"/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поставки продукции и оказания сопутствующих услуг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6" w:name="_Toc124165072"/>
      <w:bookmarkStart w:id="17" w:name="_Toc51339697"/>
      <w:bookmarkStart w:id="18" w:name="_Toc50125127"/>
      <w:bookmarkStart w:id="19" w:name="_Toc50125126_Копия_1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поставки продукции</w:t>
      </w:r>
      <w:bookmarkEnd w:id="16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  <w:bookmarkStart w:id="21" w:name="_Toc46743510_Копия_1"/>
            <w:bookmarkStart w:id="22" w:name="_Toc46743510_Копия_1"/>
            <w:bookmarkEnd w:id="22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Times" w:hAnsi="Times"/>
                <w:sz w:val="24"/>
                <w:szCs w:val="24"/>
                <w:shd w:fill="auto" w:val="clear"/>
              </w:rPr>
              <w:t>Позиции 1-8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Times" w:hAnsi="Times"/>
                <w:sz w:val="24"/>
                <w:szCs w:val="24"/>
                <w:shd w:fill="auto" w:val="clear"/>
              </w:rPr>
              <w:t>Таблицы 1.1 ТТ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0"/>
                <w:szCs w:val="24"/>
              </w:rPr>
            </w:pPr>
            <w:r>
              <w:rPr>
                <w:i/>
                <w:iCs/>
                <w:sz w:val="20"/>
                <w:szCs w:val="24"/>
              </w:rPr>
              <w:t xml:space="preserve">Начало – </w:t>
            </w:r>
            <w:r>
              <w:rPr>
                <w:i/>
                <w:iCs/>
                <w:sz w:val="20"/>
                <w:szCs w:val="24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0"/>
                <w:szCs w:val="24"/>
              </w:rPr>
            </w:pPr>
            <w:bookmarkStart w:id="23" w:name="_GoBack"/>
            <w:r>
              <w:rPr>
                <w:i/>
                <w:iCs/>
                <w:sz w:val="20"/>
                <w:szCs w:val="24"/>
              </w:rPr>
              <w:t xml:space="preserve">окончание — </w:t>
            </w:r>
            <w:bookmarkEnd w:id="23"/>
            <w:r>
              <w:rPr>
                <w:i/>
                <w:iCs/>
                <w:sz w:val="20"/>
                <w:szCs w:val="24"/>
              </w:rPr>
              <w:t>не позднее</w:t>
            </w:r>
            <w:r>
              <w:rPr>
                <w:i/>
                <w:iCs/>
                <w:sz w:val="20"/>
                <w:szCs w:val="24"/>
              </w:rPr>
              <w:t xml:space="preserve"> 02 сентября 2026г.</w:t>
            </w:r>
          </w:p>
        </w:tc>
      </w:tr>
    </w:tbl>
    <w:p>
      <w:pPr>
        <w:sectPr>
          <w:headerReference w:type="even" r:id="rId10"/>
          <w:headerReference w:type="default" r:id="rId11"/>
          <w:headerReference w:type="first" r:id="rId1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51339698"/>
      <w:bookmarkStart w:id="25" w:name="_Toc124165073"/>
      <w:bookmarkStart w:id="26" w:name="_Toc46743511"/>
      <w:r>
        <w:rPr/>
        <w:t xml:space="preserve">Требования к </w:t>
      </w:r>
      <w:bookmarkEnd w:id="26"/>
      <w:r>
        <w:rPr>
          <w:lang w:val="ru-RU"/>
        </w:rPr>
        <w:t>качеству продукции</w:t>
      </w:r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12416507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r>
        <w:rPr>
          <w:sz w:val="24"/>
          <w:szCs w:val="24"/>
        </w:rPr>
        <w:t xml:space="preserve"> </w:t>
      </w:r>
      <w:bookmarkEnd w:id="24"/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№1-</w:t>
      </w:r>
      <w:r>
        <w:rPr>
          <w:b/>
          <w:bCs/>
          <w:i/>
          <w:iCs/>
          <w:sz w:val="24"/>
          <w:szCs w:val="24"/>
        </w:rPr>
        <w:t>8</w:t>
      </w:r>
      <w:r>
        <w:rPr>
          <w:b/>
          <w:bCs/>
          <w:i/>
          <w:iCs/>
          <w:sz w:val="24"/>
          <w:szCs w:val="24"/>
        </w:rPr>
        <w:t xml:space="preserve"> Таблицы 1.1): Изоляторы </w:t>
      </w:r>
    </w:p>
    <w:p>
      <w:pPr>
        <w:pStyle w:val="Normal"/>
        <w:spacing w:before="0" w:after="120"/>
        <w:ind w:right="397" w:hanging="0"/>
        <w:jc w:val="both"/>
        <w:rPr>
          <w:rStyle w:val="Style8"/>
          <w:b w:val="false"/>
          <w:sz w:val="24"/>
          <w:szCs w:val="24"/>
          <w:shd w:fill="auto" w:val="clear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Style w:val="Style8"/>
          <w:rFonts w:cs="Calibri" w:ascii="Times" w:hAnsi="Times"/>
          <w:b w:val="false"/>
          <w:bCs/>
          <w:color w:val="000000"/>
          <w:sz w:val="20"/>
          <w:szCs w:val="20"/>
          <w:shd w:fill="auto" w:val="clear"/>
        </w:rPr>
        <w:t>Съемный термочехол на трубу</w:t>
      </w:r>
    </w:p>
    <w:tbl>
      <w:tblPr>
        <w:tblStyle w:val="1c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07"/>
        <w:gridCol w:w="1349"/>
        <w:gridCol w:w="1588"/>
        <w:gridCol w:w="1446"/>
        <w:gridCol w:w="2298"/>
        <w:gridCol w:w="1500"/>
        <w:gridCol w:w="1701"/>
        <w:gridCol w:w="1142"/>
        <w:gridCol w:w="1850"/>
        <w:gridCol w:w="1826"/>
      </w:tblGrid>
      <w:tr>
        <w:trPr>
          <w:trHeight w:val="311" w:hRule="atLeast"/>
        </w:trPr>
        <w:tc>
          <w:tcPr>
            <w:tcW w:w="6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134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5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24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Требования заказчика *</w:t>
            </w:r>
          </w:p>
        </w:tc>
        <w:tc>
          <w:tcPr>
            <w:tcW w:w="651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Предложения участника**</w:t>
            </w:r>
          </w:p>
        </w:tc>
      </w:tr>
      <w:tr>
        <w:trPr>
          <w:trHeight w:val="726" w:hRule="atLeast"/>
        </w:trPr>
        <w:tc>
          <w:tcPr>
            <w:tcW w:w="6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</w:r>
          </w:p>
        </w:tc>
        <w:tc>
          <w:tcPr>
            <w:tcW w:w="134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/>
                <w:sz w:val="20"/>
                <w:szCs w:val="20"/>
              </w:rPr>
            </w:r>
          </w:p>
        </w:tc>
        <w:tc>
          <w:tcPr>
            <w:tcW w:w="14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ГОСТ</w:t>
            </w:r>
          </w:p>
        </w:tc>
        <w:tc>
          <w:tcPr>
            <w:tcW w:w="22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Место поставки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ajorBidi" w:hAnsiTheme="majorBidi"/>
                <w:b/>
                <w:i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ajorBidi" w:hAnsiTheme="majorBidi"/>
                <w:b/>
                <w:i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ГОСТ</w:t>
            </w:r>
          </w:p>
        </w:tc>
        <w:tc>
          <w:tcPr>
            <w:tcW w:w="1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ajorBidi" w:hAnsiTheme="majorBidi"/>
                <w:b/>
                <w:i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ajorBidi" w:hAnsiTheme="majorBidi"/>
                <w:b/>
                <w:i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Место поставки</w:t>
            </w:r>
          </w:p>
        </w:tc>
      </w:tr>
      <w:tr>
        <w:trPr>
          <w:trHeight w:val="223" w:hRule="atLeast"/>
        </w:trPr>
        <w:tc>
          <w:tcPr>
            <w:tcW w:w="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4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22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1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" w:hAnsi="Times" w:cs="Calibri"/>
                <w:color w:val="000000"/>
                <w:sz w:val="18"/>
                <w:szCs w:val="20"/>
              </w:rPr>
            </w:pPr>
            <w:r>
              <w:rPr>
                <w:rFonts w:eastAsia="Calibri" w:cs="Calibri" w:ascii="Times" w:hAnsi="Times"/>
                <w:color w:val="000000"/>
                <w:kern w:val="0"/>
                <w:sz w:val="18"/>
                <w:szCs w:val="20"/>
                <w:lang w:val="ru-RU" w:eastAsia="en-US" w:bidi="ar-SA"/>
              </w:rPr>
              <w:t>Термочехол на трубу Ду 100 мм, длиной 0,3 м</w:t>
            </w:r>
          </w:p>
        </w:tc>
        <w:tc>
          <w:tcPr>
            <w:tcW w:w="14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cs="Times" w:ascii="Times" w:hAnsi="Times"/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Термочехол на выхлопную трубу Ду 100мм,длиной 0,3 м, Внешний слой: стеклоткань усиленная армированная высокотемпературная. Внутренний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(контактный)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слой: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высокотемпературная. Теплоизоляционный слой – Стеклохолст 20 мм. Элементы крепления: крючки. Монтаж на трубу посредством шнуровки проволокой. Группа горючести НГ. Температура применения до 600 С.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</w:pPr>
            <w:r>
              <w:rPr/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Технические и функциональные характеристики</w:t>
            </w:r>
          </w:p>
        </w:tc>
        <w:tc>
          <w:tcPr>
            <w:tcW w:w="1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2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" w:hAnsi="Times" w:cs="Calibri"/>
                <w:color w:val="000000"/>
                <w:sz w:val="18"/>
                <w:szCs w:val="20"/>
              </w:rPr>
            </w:pPr>
            <w:r>
              <w:rPr>
                <w:rFonts w:eastAsia="Calibri" w:cs="Calibri" w:ascii="Times" w:hAnsi="Times"/>
                <w:color w:val="000000"/>
                <w:kern w:val="0"/>
                <w:sz w:val="18"/>
                <w:szCs w:val="20"/>
                <w:lang w:val="ru-RU" w:eastAsia="en-US" w:bidi="ar-SA"/>
              </w:rPr>
              <w:t>Термочехол на трубу Ду 100 мм, длиной 0,4 м</w:t>
            </w:r>
          </w:p>
        </w:tc>
        <w:tc>
          <w:tcPr>
            <w:tcW w:w="14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cs="Times" w:ascii="Times" w:hAnsi="Times"/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Термочехол на выхлопную трубу Ду 100мм,длиной 0,4 м, Внешний слой: стеклоткань усиленная армированная высокотемпературная. Внутренний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(контактный)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слой: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высокотемпературная. Теплоизоляционный слой – Стеклохолст 20 мм. Элементы крепления: крючки. Монтаж на трубу посредством шнуровки проволокой. Группа горючести НГ. Температура применения до 600 С.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/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Технические и функциональные характеристики</w:t>
            </w:r>
          </w:p>
        </w:tc>
        <w:tc>
          <w:tcPr>
            <w:tcW w:w="1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3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" w:hAnsi="Times" w:cs="Calibri"/>
                <w:color w:val="000000"/>
                <w:sz w:val="18"/>
                <w:szCs w:val="20"/>
              </w:rPr>
            </w:pPr>
            <w:r>
              <w:rPr>
                <w:rFonts w:eastAsia="Calibri" w:cs="Calibri" w:ascii="Times" w:hAnsi="Times"/>
                <w:color w:val="000000"/>
                <w:kern w:val="0"/>
                <w:sz w:val="18"/>
                <w:szCs w:val="20"/>
                <w:lang w:val="ru-RU" w:eastAsia="en-US" w:bidi="ar-SA"/>
              </w:rPr>
              <w:t>Термочехол на трубу Ду 100 мм, длиной 0,5 м</w:t>
            </w:r>
          </w:p>
        </w:tc>
        <w:tc>
          <w:tcPr>
            <w:tcW w:w="14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cs="Times" w:ascii="Times" w:hAnsi="Times"/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Термочехол на выхлопную трубу Ду 100мм,длиной 0,5 м, Внешний слой: стеклоткань усиленная армированная высокотемпературная. Внутренний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(контактный)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слой: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высокотемпературная. Теплоизоляционный слой – Стеклохолст 20 мм. Элементы крепления: крючки. Монтаж на трубу посредством шнуровки проволокой. Группа горючести НГ. Температура применения до 600 С.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Технические и функциональные характеристики</w:t>
            </w:r>
          </w:p>
        </w:tc>
        <w:tc>
          <w:tcPr>
            <w:tcW w:w="1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60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13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  <w:t>Позиция 4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" w:hAnsi="Times" w:cs="Calibri"/>
                <w:color w:val="000000"/>
                <w:sz w:val="18"/>
                <w:szCs w:val="20"/>
              </w:rPr>
            </w:pPr>
            <w:r>
              <w:rPr>
                <w:rFonts w:eastAsia="Calibri" w:cs="Calibri" w:ascii="Times" w:hAnsi="Times"/>
                <w:color w:val="000000"/>
                <w:kern w:val="0"/>
                <w:sz w:val="18"/>
                <w:szCs w:val="20"/>
                <w:lang w:val="ru-RU" w:eastAsia="en-US" w:bidi="ar-SA"/>
              </w:rPr>
              <w:t>Термочехол на трубу Ду 100 мм, длиной 0,8 м</w:t>
            </w:r>
          </w:p>
        </w:tc>
        <w:tc>
          <w:tcPr>
            <w:tcW w:w="14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cs="Times" w:ascii="Times" w:hAnsi="Times"/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Термочехол на выхлопную трубу Ду 100мм,длиной 0,8 м, Внешний слой: стеклоткань усиленная армированная высокотемпературная. Внутренний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(контактный)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слой: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высокотемпературная. Теплоизоляционный слой – Стеклохолст 20 мм. Элементы крепления: крючки. Монтаж на трубу посредством шнуровки проволокой. Группа горючести НГ. Температура применения до 600 С.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Технические и функциональные характеристики</w:t>
            </w:r>
          </w:p>
        </w:tc>
        <w:tc>
          <w:tcPr>
            <w:tcW w:w="1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60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13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  <w:t>Позиция 5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" w:hAnsi="Times" w:cs="Calibri"/>
                <w:color w:val="000000"/>
                <w:sz w:val="18"/>
                <w:szCs w:val="20"/>
              </w:rPr>
            </w:pPr>
            <w:r>
              <w:rPr>
                <w:rFonts w:eastAsia="Calibri" w:cs="Calibri" w:ascii="Times" w:hAnsi="Times"/>
                <w:color w:val="000000"/>
                <w:kern w:val="0"/>
                <w:sz w:val="18"/>
                <w:szCs w:val="20"/>
                <w:lang w:val="ru-RU" w:eastAsia="en-US" w:bidi="ar-SA"/>
              </w:rPr>
              <w:t>Термочехол на трубу Ду 100 мм, длиной 0,9 м</w:t>
            </w:r>
          </w:p>
        </w:tc>
        <w:tc>
          <w:tcPr>
            <w:tcW w:w="14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cs="Times" w:ascii="Times" w:hAnsi="Times"/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Термочехол на выхлопную трубу Ду 100мм,длиной 0,9 м, Внешний слой: стеклоткань усиленная армированная высокотемпературная. Внутренний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(контактный)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слой: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высокотемпературная. Теплоизоляционный слой – Стеклохолст 20 мм. Элементы крепления: крючки. Монтаж на трубу посредством шнуровки проволокой. Группа горючести НГ. Температура применения до 600 С.</w:t>
            </w: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Технические и функциональные характеристики</w:t>
            </w:r>
          </w:p>
        </w:tc>
        <w:tc>
          <w:tcPr>
            <w:tcW w:w="18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60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13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  <w:t>Позиция 6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" w:hAnsi="Times" w:cs="Calibri"/>
                <w:color w:val="000000"/>
                <w:sz w:val="18"/>
                <w:szCs w:val="20"/>
              </w:rPr>
            </w:pPr>
            <w:r>
              <w:rPr>
                <w:rFonts w:eastAsia="Calibri" w:cs="Calibri" w:ascii="Times" w:hAnsi="Times"/>
                <w:color w:val="000000"/>
                <w:kern w:val="0"/>
                <w:sz w:val="18"/>
                <w:szCs w:val="20"/>
                <w:lang w:val="ru-RU" w:eastAsia="en-US" w:bidi="ar-SA"/>
              </w:rPr>
              <w:t>Термочехол на трубу Ду 100 мм, длиной 1,0 м</w:t>
            </w:r>
          </w:p>
        </w:tc>
        <w:tc>
          <w:tcPr>
            <w:tcW w:w="14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cs="Times" w:ascii="Times" w:hAnsi="Times"/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Термочехол на выхлопную трубу Ду 100мм,длиной 1,0 м, Внешний слой: стеклоткань усиленная армированная высокотемпературная. Внутренний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(контактный)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слой: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высокотемпературная. Теплоизоляционный слой – Стеклохолст 20 мм. Элементы крепления: крючки. Монтаж на трубу посредством шнуровки проволокой. Группа горючести НГ. Температура применения до 600 С.</w:t>
            </w: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Технические и функциональные характеристики</w:t>
            </w:r>
          </w:p>
        </w:tc>
        <w:tc>
          <w:tcPr>
            <w:tcW w:w="18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60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13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  <w:t>Позиция 5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" w:hAnsi="Times" w:cs="Calibri"/>
                <w:color w:val="000000"/>
                <w:sz w:val="18"/>
                <w:szCs w:val="20"/>
              </w:rPr>
            </w:pPr>
            <w:r>
              <w:rPr>
                <w:rFonts w:eastAsia="Calibri" w:cs="Calibri" w:ascii="Times" w:hAnsi="Times"/>
                <w:color w:val="000000"/>
                <w:kern w:val="0"/>
                <w:sz w:val="18"/>
                <w:szCs w:val="20"/>
                <w:lang w:val="ru-RU" w:eastAsia="en-US" w:bidi="ar-SA"/>
              </w:rPr>
              <w:t>Термочехол на трубу Ду 100 мм, длиной 1,2 м</w:t>
            </w:r>
          </w:p>
        </w:tc>
        <w:tc>
          <w:tcPr>
            <w:tcW w:w="14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cs="Times" w:ascii="Times" w:hAnsi="Times"/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Термочехол на выхлопную трубу Ду 100мм,длиной 1,2 м, Внешний слой: стеклоткань усиленная армированная высокотемпературная. Внутренний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(контактный)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слой: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высокотемпературная. Теплоизоляционный слой – Стеклохолст 20 мм. Элементы крепления: крючки. Монтаж на трубу посредством шнуровки проволокой. Группа горючести НГ. Температура применения до 600 С.</w:t>
            </w: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Технические и функциональные характеристики</w:t>
            </w:r>
          </w:p>
        </w:tc>
        <w:tc>
          <w:tcPr>
            <w:tcW w:w="18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60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13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  <w:t>Позиция 5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" w:hAnsi="Times" w:cs="Calibri"/>
                <w:color w:val="000000"/>
                <w:sz w:val="18"/>
                <w:szCs w:val="20"/>
              </w:rPr>
            </w:pPr>
            <w:r>
              <w:rPr>
                <w:rFonts w:eastAsia="Calibri" w:cs="Calibri" w:ascii="Times" w:hAnsi="Times"/>
                <w:color w:val="000000"/>
                <w:kern w:val="0"/>
                <w:sz w:val="18"/>
                <w:szCs w:val="20"/>
                <w:lang w:val="ru-RU" w:eastAsia="en-US" w:bidi="ar-SA"/>
              </w:rPr>
              <w:t>Термочехол на трубу Ду 80 мм, длиной 0,7 м</w:t>
            </w:r>
          </w:p>
        </w:tc>
        <w:tc>
          <w:tcPr>
            <w:tcW w:w="14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cs="Times" w:ascii="Times" w:hAnsi="Times"/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Термочехол на выхлопную трубу Ду 80мм,длиной 0,7 м, Внешний слой: стеклоткань усиленная армированная высокотемпературная. Внутренний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(контактный)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слой: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eastAsia="Calibri" w:cs="Times" w:ascii="Times" w:hAnsi="Times"/>
                <w:color w:val="000000"/>
                <w:kern w:val="0"/>
                <w:sz w:val="20"/>
                <w:szCs w:val="20"/>
                <w:lang w:val="ru-RU" w:eastAsia="en-US" w:bidi="ar-SA"/>
              </w:rPr>
              <w:t>высокотемпературная. Теплоизоляционный слой – Стеклохолст 20 мм. Элементы крепления: крючки. Монтаж на трубу посредством шнуровки проволокой. Группа горючести НГ. Температура применения до 600 С.</w:t>
            </w: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/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Технические и функциональные характеристики</w:t>
            </w:r>
          </w:p>
        </w:tc>
        <w:tc>
          <w:tcPr>
            <w:tcW w:w="18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</w:tbl>
    <w:p>
      <w:pPr>
        <w:pStyle w:val="Normal"/>
        <w:spacing w:before="120" w:after="40"/>
        <w:ind w:right="397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 случае, если Участником предлагается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Способ подтверждения участником соответствия требованиям указан в таблице в отношении каждой позиции закупаемой продукции 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1814"/>
        <w:gridCol w:w="4821"/>
        <w:gridCol w:w="2693"/>
        <w:gridCol w:w="3118"/>
        <w:gridCol w:w="2013"/>
      </w:tblGrid>
      <w:tr>
        <w:trPr/>
        <w:tc>
          <w:tcPr>
            <w:tcW w:w="8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8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8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1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8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1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8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0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3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№3 к настоящим Техническим требованиям</w:t>
            </w:r>
          </w:p>
        </w:tc>
        <w:tc>
          <w:tcPr>
            <w:tcW w:w="26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№3 к настоящим Техническим требованиям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Климатическое исполнение поставляемого товара</w:t>
            </w:r>
          </w:p>
        </w:tc>
        <w:tc>
          <w:tcPr>
            <w:tcW w:w="48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Условия хранения арматуры в части воздействия климатических факторов внешней среды должны соответствовать группе 4 по ГОСТ 15150.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транспортированию и упаковке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Способ транспортировки и упаковка продукции должны исключать риски случайного повреждения или гибели продукции во время ее транспортировки и разгрузки.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маркировке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1. Каждое грузовое место должно иметь упаковочный лист и вкладываться в доступное место. Упаковочный лист должен быть защищен от воздействия метрологических факторов.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2. Маркировка продукции должна обеспечивать полную и однозначную идентификацию каждой единицы продукции при ее приемке. Наличие технических паспортов на продукцию обязательно.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1. Приемка товара по количеству и качеству осуществляется по адресу: 677004, РФ, РС (Я), г. Якутск, ул. Беринга, 42 Производственная база АО «Сахаэнерго».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2. В случае несоответствия поставленной продукции требованиям технического задания, Поставщик за свой счет производит замену несоответствующего товара согласованный между сторонами срок, в противном случае вся партия товара принята Заказчиком не будет.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 Товар устанавливается гарантийный срок не менее 36 (тридцати шести) месяцев, который подлежит исчислению с даты подписания Сторонами товарной накладной по форме ТОРГ-12 (далее – «Гарантийный срок»)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 товаром</w:t>
            </w:r>
          </w:p>
        </w:tc>
        <w:tc>
          <w:tcPr>
            <w:tcW w:w="482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18" w:leader="none"/>
              </w:tabs>
              <w:suppressAutoHyphens w:val="true"/>
              <w:spacing w:before="0" w:after="0"/>
              <w:ind w:left="35" w:hanging="0"/>
              <w:contextualSpacing/>
              <w:jc w:val="lef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Поставщик обязан одновременно с передачей товара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(УПД) в 2 экз.;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протоколы заводских испытаний.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Сведения о новизне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8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быть новой (не бывшей в эксплуатации, не допускается поставка выставочных образцов), свободной от третьих лиц и работоспособной.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Дата выпуска: Не ранее 2026 года.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Условия поставки эквивалентной продукции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82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35" w:firstLine="325"/>
              <w:contextualSpacing/>
              <w:jc w:val="lef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Участник должен принять во внимание, что ссылка на марку (тип) продукции, носит описательный, а не обязательный характер. В случае если Участником предлагаются эквиваленты требуемого Заказчиком товара или его составных частей, в составе своего предложения он должен в обязательном порядке предоставить подробное техническое описание предлагаемого к поставке эквивалента. Отсутствие в составе технико-коммерческого предложения подробного технического описания эквивалента продукции может являться причиной отклонения предложения Участника.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left="35" w:firstLine="325"/>
              <w:contextualSpacing/>
              <w:jc w:val="lef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Эквивалентная продукция - это продукция, которое по техническим и функциональным характеристикам не уступают характеристикам, заявленным в закупочной документации, в том числе по гарантийным срокам и срокам эксплуатации.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8.</w:t>
            </w:r>
          </w:p>
        </w:tc>
        <w:tc>
          <w:tcPr>
            <w:tcW w:w="14459" w:type="dxa"/>
            <w:gridSpan w:val="5"/>
            <w:tcBorders>
              <w:top w:val="nil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  <w:numId w:val="0"/>
              </w:numPr>
              <w:suppressAutoHyphens w:val="false"/>
              <w:bidi w:val="0"/>
              <w:spacing w:before="120" w:after="60"/>
              <w:ind w:left="0" w:right="0" w:hanging="0"/>
              <w:jc w:val="both"/>
              <w:rPr>
                <w:highlight w:val="none"/>
                <w:shd w:fill="auto" w:val="clear"/>
              </w:rPr>
            </w:pPr>
            <w:bookmarkStart w:id="28" w:name="__RefHeading___Toc6884_173003830_Копия_1"/>
            <w:bookmarkEnd w:id="28"/>
            <w:r>
              <w:rPr>
                <w:rFonts w:eastAsia="Calibri"/>
                <w:b/>
                <w:color w:val="000000"/>
                <w:shd w:fill="auto" w:val="clear"/>
              </w:rPr>
              <w:t xml:space="preserve">Требования по предоставлению национального режима </w:t>
            </w:r>
            <w:r>
              <w:rPr>
                <w:rFonts w:eastAsia="Calibri"/>
                <w:b w:val="false"/>
                <w:bCs w:val="false"/>
                <w:color w:val="000000"/>
                <w:shd w:fill="auto" w:val="clear"/>
              </w:rPr>
              <w:t>при осуществлении закупок в соответствии с Постановлением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8.1.</w:t>
            </w:r>
          </w:p>
        </w:tc>
        <w:tc>
          <w:tcPr>
            <w:tcW w:w="1814" w:type="dxa"/>
            <w:tcBorders>
              <w:top w:val="nil"/>
            </w:tcBorders>
            <w:vAlign w:val="center"/>
          </w:tcPr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По позициям таблицы 1.1.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по которым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 xml:space="preserve"> установлен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запрет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, по перечню согласно приложению N 1 ПП РФ № 1875.</w:t>
            </w:r>
          </w:p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не допускаются:</w:t>
            </w:r>
          </w:p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а) заключение договора на поставку такого товара,</w:t>
            </w:r>
          </w:p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запрет.</w:t>
            </w:r>
          </w:p>
        </w:tc>
        <w:tc>
          <w:tcPr>
            <w:tcW w:w="482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Поставляемая продукция должна быть  быть включена в р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еестры, а именно: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10"/>
              </w:numPr>
              <w:shd w:val="clear" w:color="auto" w:fill="FFFFFF"/>
              <w:tabs>
                <w:tab w:val="clear" w:pos="708"/>
                <w:tab w:val="left" w:pos="956" w:leader="none"/>
              </w:tabs>
              <w:suppressAutoHyphens w:val="true"/>
              <w:bidi w:val="0"/>
              <w:spacing w:lineRule="auto" w:line="240" w:beforeAutospacing="0" w:before="0" w:afterAutospacing="0" w:after="0"/>
              <w:ind w:left="227" w:right="0" w:firstLine="454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Реестр российской промышленной продукции, предусмотренные статьей 17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vertAlign w:val="superscript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 Федерального закона "О промышленной политике в Российской Федерации" содержащей в том числе: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 г. N 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 г. N 719. 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 г. N 719;</w:t>
            </w:r>
          </w:p>
          <w:p>
            <w:pPr>
              <w:pStyle w:val="NormalWeb"/>
              <w:widowControl w:val="false"/>
              <w:numPr>
                <w:ilvl w:val="0"/>
                <w:numId w:val="10"/>
              </w:numPr>
              <w:shd w:val="clear" w:color="auto" w:fill="FFFFFF"/>
              <w:tabs>
                <w:tab w:val="clear" w:pos="708"/>
                <w:tab w:val="left" w:pos="956" w:leader="none"/>
              </w:tabs>
              <w:suppressAutoHyphens w:val="true"/>
              <w:bidi w:val="0"/>
              <w:spacing w:lineRule="auto" w:line="240" w:beforeAutospacing="0" w:before="0" w:afterAutospacing="0" w:after="0"/>
              <w:ind w:left="227" w:right="0" w:firstLine="454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</w:t>
            </w:r>
          </w:p>
          <w:p>
            <w:pPr>
              <w:pStyle w:val="NormalWeb"/>
              <w:widowControl w:val="false"/>
              <w:numPr>
                <w:ilvl w:val="0"/>
                <w:numId w:val="10"/>
              </w:numPr>
              <w:shd w:val="clear" w:color="auto" w:fill="FFFFFF"/>
              <w:tabs>
                <w:tab w:val="clear" w:pos="708"/>
                <w:tab w:val="left" w:pos="956" w:leader="none"/>
              </w:tabs>
              <w:suppressAutoHyphens w:val="true"/>
              <w:bidi w:val="0"/>
              <w:spacing w:lineRule="auto" w:line="240" w:beforeAutospacing="0" w:before="0" w:afterAutospacing="0" w:after="0"/>
              <w:ind w:left="227" w:right="0" w:firstLine="454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информацию об уровне радиоэлектронной продукции (для товара, являющегося в соответствии с правом Евразийского экономического союза</w:t>
            </w: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118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Участник должен предоставить в составе заявки: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- Техническое предложение по форме, установленной документацией о закупке, с указанием в отношении поставляемой продукции информации: о наименовании реестра (реестров), о номере (номерах) реестровой записи (реестровых записей) соответствующих реестров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- Коммерческое предложение по форме, установленной документацией о закупке, с указанием в отношении поставляемой продукции информации: о наименовании реестра(реестров), о номере (номерах) реестровой записи (реестровых записей) соответствующих реестров</w:t>
            </w:r>
          </w:p>
        </w:tc>
        <w:tc>
          <w:tcPr>
            <w:tcW w:w="20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8.2.</w:t>
            </w:r>
          </w:p>
        </w:tc>
        <w:tc>
          <w:tcPr>
            <w:tcW w:w="1814" w:type="dxa"/>
            <w:tcBorders>
              <w:top w:val="nil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По позициям таблицы 1.1., по которым при осуществлении закупки товара, если Правительством РФ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установлено </w:t>
            </w:r>
            <w:hyperlink r:id="rId13" w:tgtFrame="https://login.consultant.ru/link/?req=doc&amp;base=LAW&amp;n=494318&amp;dst=100007">
              <w:r>
                <w:rPr>
                  <w:rFonts w:eastAsia="Times New Roman" w:cs="Times New Roman"/>
                  <w:b/>
                  <w:bCs/>
                  <w:i w:val="false"/>
                  <w:iCs w:val="false"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ограничение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закупок товаров, происходящих из иностранных государств (по перечню 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eastAsia="ru-RU"/>
              </w:rPr>
              <w:t>согласно приложению N 2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/>
              </w:rPr>
              <w:t xml:space="preserve"> ПП РФ № 1875)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,</w:t>
            </w:r>
          </w:p>
          <w:p>
            <w:pPr>
              <w:pStyle w:val="Main14"/>
              <w:widowControl w:val="false"/>
              <w:spacing w:lineRule="auto" w:line="240" w:before="0" w:afterAutospacing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не допускаются:</w:t>
            </w:r>
          </w:p>
          <w:p>
            <w:pPr>
              <w:pStyle w:val="Main14"/>
              <w:widowControl w:val="false"/>
              <w:spacing w:lineRule="auto" w:line="240" w:before="0" w:afterAutospacing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происхождения,</w:t>
            </w:r>
          </w:p>
          <w:p>
            <w:pPr>
              <w:pStyle w:val="Main14"/>
              <w:widowControl w:val="false"/>
              <w:spacing w:lineRule="auto" w:line="240" w:before="0" w:afterAutospacing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происхождения.</w:t>
            </w:r>
          </w:p>
        </w:tc>
        <w:tc>
          <w:tcPr>
            <w:tcW w:w="482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Поставляемая продукция должна быть  быть включена в р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еестры, а именно: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11"/>
              </w:numPr>
              <w:shd w:val="clear" w:color="auto" w:fill="FFFFFF"/>
              <w:tabs>
                <w:tab w:val="clear" w:pos="708"/>
                <w:tab w:val="left" w:pos="956" w:leader="none"/>
              </w:tabs>
              <w:suppressAutoHyphens w:val="true"/>
              <w:bidi w:val="0"/>
              <w:spacing w:lineRule="auto" w:line="240" w:beforeAutospacing="0" w:before="0" w:afterAutospacing="0" w:after="0"/>
              <w:ind w:left="227" w:right="0" w:firstLine="39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Реестр российской промышленной продукции, предусмотренные статьей 17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vertAlign w:val="superscript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 Федерального закона "О промышленной политике в Российской Федерации" содержащей в том числе: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 г. N 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 г. N 719.</w:t>
            </w:r>
          </w:p>
          <w:p>
            <w:pPr>
              <w:pStyle w:val="NormalWeb"/>
              <w:widowControl w:val="false"/>
              <w:numPr>
                <w:ilvl w:val="0"/>
                <w:numId w:val="11"/>
              </w:numPr>
              <w:shd w:val="clear" w:color="auto" w:fill="FFFFFF"/>
              <w:tabs>
                <w:tab w:val="clear" w:pos="708"/>
                <w:tab w:val="left" w:pos="956" w:leader="none"/>
              </w:tabs>
              <w:suppressAutoHyphens w:val="true"/>
              <w:bidi w:val="0"/>
              <w:spacing w:lineRule="auto" w:line="240" w:beforeAutospacing="0" w:before="0" w:afterAutospacing="0" w:after="0"/>
              <w:ind w:left="227" w:right="0" w:firstLine="39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 г. N 719;</w:t>
            </w:r>
          </w:p>
          <w:p>
            <w:pPr>
              <w:pStyle w:val="NormalWeb"/>
              <w:widowControl w:val="false"/>
              <w:numPr>
                <w:ilvl w:val="0"/>
                <w:numId w:val="11"/>
              </w:numPr>
              <w:shd w:val="clear" w:color="auto" w:fill="FFFFFF"/>
              <w:tabs>
                <w:tab w:val="clear" w:pos="708"/>
                <w:tab w:val="left" w:pos="956" w:leader="none"/>
              </w:tabs>
              <w:suppressAutoHyphens w:val="true"/>
              <w:bidi w:val="0"/>
              <w:spacing w:lineRule="auto" w:line="240" w:beforeAutospacing="0" w:before="0" w:afterAutospacing="0" w:after="0"/>
              <w:ind w:left="227" w:right="0" w:firstLine="39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</w:t>
            </w:r>
          </w:p>
          <w:p>
            <w:pPr>
              <w:pStyle w:val="NormalWeb"/>
              <w:widowControl w:val="false"/>
              <w:numPr>
                <w:ilvl w:val="0"/>
                <w:numId w:val="11"/>
              </w:numPr>
              <w:shd w:val="clear" w:color="auto" w:fill="FFFFFF"/>
              <w:tabs>
                <w:tab w:val="clear" w:pos="708"/>
                <w:tab w:val="left" w:pos="956" w:leader="none"/>
              </w:tabs>
              <w:suppressAutoHyphens w:val="true"/>
              <w:bidi w:val="0"/>
              <w:spacing w:lineRule="auto" w:line="240" w:beforeAutospacing="0" w:before="0" w:afterAutospacing="0" w:after="0"/>
              <w:ind w:left="227" w:right="0" w:firstLine="39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информацию об уровне радиоэлектронной продукции (для товара, являющегося в соответствии с правом Евразийского экономического союза</w:t>
            </w:r>
            <w:r>
              <w:rPr>
                <w:rFonts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118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Участник должен предоставить в составе Первой части заявки Техническое предложение по форме, установленной документацией о закупке, с указанием в отношении поставляемой продукции информации: о наименовании реестра(реестров), о номере (номерах) реестровой записи (реестровых записей) соответствующих реестров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</w:t>
            </w: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информации: о наименовании реестра(реестров), о номере (номерах) реестровой записи (реестровых записей) соответствующих реестров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left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0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8.3.</w:t>
            </w:r>
          </w:p>
        </w:tc>
        <w:tc>
          <w:tcPr>
            <w:tcW w:w="1814" w:type="dxa"/>
            <w:tcBorders>
              <w:top w:val="nil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По позициям таблицы 1.1., по которым п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ри осуществлении закупки товара,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если Правительством РФ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установлено </w:t>
            </w:r>
            <w:hyperlink r:id="rId14" w:tgtFrame="https://login.consultant.ru/link/?req=doc&amp;base=LAW&amp;n=494318&amp;dst=100008">
              <w:r>
                <w:rPr>
                  <w:rFonts w:eastAsia="Times New Roman" w:cs="Times New Roman"/>
                  <w:b/>
                  <w:bCs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преимущество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в отношении товаров российского происхождения: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а) при рассмотрении, оценке, сопоставлении заявок на участие в закупке, окончательных предложений осуществляется снижение на 15 % (пятнадцать процентов) ценового предложения, поданного участником закупки, предлагающим к поставке товар только российского происхождения, либо увеличение на 15 % (пятнадцать процентов) ценового предложения этого участника закупки в случае подачи им предложения о размере платы, подлежащей внесению за заключение договора,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б) в случае заключения договора с участником закупки, указанным в </w:t>
            </w:r>
            <w:hyperlink w:anchor="Par17" w:tgtFrame="#Par17">
              <w:r>
                <w:rPr>
                  <w:rFonts w:eastAsia="Times New Roman" w:cs="Times New Roman"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подпункте «а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» настоящего пункта, договор заключается без учета снижения либо увеличения ценового предложения, осуществленных в соответствии с </w:t>
            </w:r>
            <w:hyperlink w:anchor="Par17" w:tgtFrame="#Par17">
              <w:r>
                <w:rPr>
                  <w:rFonts w:eastAsia="Times New Roman" w:cs="Times New Roman"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подпунктом «а»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настоящего пункта,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shd w:fill="auto" w:val="clear"/>
                <w:lang w:eastAsia="ru-RU"/>
              </w:rPr>
      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      </w:r>
          </w:p>
        </w:tc>
        <w:tc>
          <w:tcPr>
            <w:tcW w:w="482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в заявке на участие в закупке наименования страны происхождения товара в соответствии с Общероссийским классификатором стран мира (ОКСМ)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118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Участник должен предоставить в составе заявки Техническое предложение по форме, установленной документацией о закупке, с указанием в отношении поставляемой продукции информации: страны происхождения товара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информации: страны происхождения товара</w:t>
            </w:r>
          </w:p>
        </w:tc>
        <w:tc>
          <w:tcPr>
            <w:tcW w:w="20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15"/>
          <w:headerReference w:type="first" r:id="rId1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9" w:name="_Toc46743519"/>
      <w:bookmarkStart w:id="30" w:name="_Toc51339699"/>
      <w:bookmarkStart w:id="31" w:name="_Toc124165075"/>
      <w:bookmarkStart w:id="32" w:name="_Toc53393312"/>
      <w:r>
        <w:rPr>
          <w:lang w:val="ru-RU"/>
        </w:rPr>
        <w:t>Требования к документации по ценообразованию</w:t>
      </w:r>
      <w:bookmarkEnd w:id="32"/>
      <w:r>
        <w:rPr>
          <w:lang w:val="ru-RU"/>
        </w:rPr>
        <w:t xml:space="preserve"> на этапе закупки</w:t>
      </w:r>
      <w:bookmarkEnd w:id="31"/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numPr>
          <w:ilvl w:val="1"/>
          <w:numId w:val="10"/>
        </w:numPr>
        <w:spacing w:before="0" w:after="120"/>
        <w:jc w:val="both"/>
        <w:rPr>
          <w:bCs/>
          <w:i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3" w:name="_Hlk88325985"/>
      <w:r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3"/>
      <w:r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10"/>
        </w:numPr>
        <w:spacing w:before="0" w:after="120"/>
        <w:jc w:val="both"/>
        <w:rPr>
          <w:bCs/>
          <w:i/>
          <w:i/>
          <w:iCs/>
          <w:sz w:val="24"/>
          <w:szCs w:val="24"/>
          <w:lang w:eastAsia="x-none"/>
        </w:rPr>
      </w:pPr>
      <w:bookmarkStart w:id="34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4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  <w:bookmarkEnd w:id="29"/>
      <w:bookmarkEnd w:id="30"/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center"/>
        <w:rPr/>
      </w:pPr>
      <w:r>
        <w:rPr/>
      </w:r>
    </w:p>
    <w:p>
      <w:pPr>
        <w:pStyle w:val="Normal"/>
        <w:spacing w:before="40" w:after="120"/>
        <w:ind w:right="-28" w:hanging="0"/>
        <w:jc w:val="center"/>
        <w:rPr/>
      </w:pPr>
      <w:r>
        <w:rPr/>
      </w:r>
    </w:p>
    <w:p>
      <w:pPr>
        <w:pStyle w:val="Normal"/>
        <w:spacing w:before="40" w:after="120"/>
        <w:ind w:right="-28" w:hanging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/>
      </w:r>
    </w:p>
    <w:sectPr>
      <w:headerReference w:type="default" r:id="rId17"/>
      <w:headerReference w:type="first" r:id="rId18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0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ListBul2" w:customStyle="1">
    <w:name w:val="ListBul2"/>
    <w:basedOn w:val="Normal"/>
    <w:qFormat/>
    <w:rsid w:val="001467a7"/>
    <w:pPr>
      <w:numPr>
        <w:ilvl w:val="0"/>
        <w:numId w:val="9"/>
      </w:numPr>
      <w:tabs>
        <w:tab w:val="clear" w:pos="708"/>
        <w:tab w:val="left" w:pos="567" w:leader="none"/>
      </w:tabs>
      <w:jc w:val="both"/>
    </w:pPr>
    <w:rPr>
      <w:sz w:val="22"/>
      <w:szCs w:val="24"/>
    </w:rPr>
  </w:style>
  <w:style w:type="paragraph" w:styleId="Default" w:customStyle="1">
    <w:name w:val="Default"/>
    <w:qFormat/>
    <w:rsid w:val="008a63c2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Main14">
    <w:name w:val="Main 14"/>
    <w:basedOn w:val="Caption"/>
    <w:qFormat/>
    <w:pPr>
      <w:keepNext w:val="false"/>
      <w:keepLines w:val="false"/>
      <w:pageBreakBefore w:val="false"/>
      <w:widowControl/>
      <w:shd w:val="nil"/>
      <w:spacing w:lineRule="auto" w:line="312" w:beforeAutospacing="0" w:before="60" w:afterAutospacing="0" w:after="0"/>
      <w:ind w:left="0" w:right="0" w:firstLine="709"/>
      <w:jc w:val="both"/>
    </w:pPr>
    <w:rPr>
      <w:rFonts w:ascii="Times New Roman" w:hAnsi="Times New Roman" w:eastAsia="Batang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8"/>
      <w:sz w:val="28"/>
      <w:szCs w:val="28"/>
      <w:u w:val="none"/>
      <w:vertAlign w:val="baseline"/>
      <w:lang w:val="ru-RU" w:eastAsia="ko-KR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94318&amp;dst=100007" TargetMode="External"/><Relationship Id="rId3" Type="http://schemas.openxmlformats.org/officeDocument/2006/relationships/hyperlink" Target="https://login.consultant.ru/link/?req=doc&amp;base=LAW&amp;n=494318&amp;dst=100007" TargetMode="External"/><Relationship Id="rId4" Type="http://schemas.openxmlformats.org/officeDocument/2006/relationships/hyperlink" Target="https://login.consultant.ru/link/?req=doc&amp;base=LAW&amp;n=494318&amp;dst=100007" TargetMode="External"/><Relationship Id="rId5" Type="http://schemas.openxmlformats.org/officeDocument/2006/relationships/hyperlink" Target="https://login.consultant.ru/link/?req=doc&amp;base=LAW&amp;n=494318&amp;dst=100007" TargetMode="External"/><Relationship Id="rId6" Type="http://schemas.openxmlformats.org/officeDocument/2006/relationships/hyperlink" Target="https://login.consultant.ru/link/?req=doc&amp;base=LAW&amp;n=494318&amp;dst=100007" TargetMode="External"/><Relationship Id="rId7" Type="http://schemas.openxmlformats.org/officeDocument/2006/relationships/hyperlink" Target="https://login.consultant.ru/link/?req=doc&amp;base=LAW&amp;n=494318&amp;dst=100007" TargetMode="External"/><Relationship Id="rId8" Type="http://schemas.openxmlformats.org/officeDocument/2006/relationships/hyperlink" Target="https://login.consultant.ru/link/?req=doc&amp;base=LAW&amp;n=494318&amp;dst=100007" TargetMode="External"/><Relationship Id="rId9" Type="http://schemas.openxmlformats.org/officeDocument/2006/relationships/hyperlink" Target="https://login.consultant.ru/link/?req=doc&amp;base=LAW&amp;n=494318&amp;dst=100007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hyperlink" Target="https://login.consultant.ru/link/?req=doc&amp;base=LAW&amp;n=494318&amp;dst=100007" TargetMode="External"/><Relationship Id="rId14" Type="http://schemas.openxmlformats.org/officeDocument/2006/relationships/hyperlink" Target="https://login.consultant.ru/link/?req=doc&amp;base=LAW&amp;n=494318&amp;dst=100008" TargetMode="Externa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header" Target="header7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C5C2-ACE7-43D9-AB54-3A1A548E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Application>AlterOffice/3.4.0.8$Linux_X86_64 LibreOffice_project/8f3f3c847f0b8d6fea24e251d3d8ed4f23cbe23c</Application>
  <AppVersion>15.0000</AppVersion>
  <Pages>19</Pages>
  <Words>2652</Words>
  <Characters>18395</Characters>
  <CharactersWithSpaces>20695</CharactersWithSpaces>
  <Paragraphs>363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2023-01-11T06:47:00Z</dcterms:created>
  <dc:creator>Быстров Олег Геннадьевич</dc:creator>
  <dc:description/>
  <dc:language>ru-RU</dc:language>
  <cp:lastModifiedBy/>
  <cp:lastPrinted>2023-07-17T07:47:00Z</cp:lastPrinted>
  <dcterms:modified xsi:type="dcterms:W3CDTF">2026-06-16T13:22:06Z</dcterms:modified>
  <cp:revision>59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