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b/>
        </w:rPr>
      </w:pPr>
      <w:r>
        <w:rPr>
          <w:rFonts w:eastAsia="Calibri"/>
          <w:b/>
        </w:rPr>
        <w:t xml:space="preserve">Технические требования на 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«ОКПД2 28.12.15.190 Поставка гидроструйного аппарата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  <w:t>для нужд Жигулевского филиала»</w:t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b/>
        </w:rPr>
        <w:t xml:space="preserve">Лот №         </w:t>
      </w:r>
    </w:p>
    <w:p>
      <w:pPr>
        <w:pStyle w:val="Normal"/>
        <w:spacing w:lineRule="auto" w:line="276" w:before="0" w:after="200"/>
        <w:jc w:val="center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rFonts w:eastAsia="Calibri"/>
          <w:b/>
          <w:caps/>
          <w:lang w:eastAsia="x-none"/>
        </w:rPr>
      </w:pPr>
      <w:bookmarkStart w:id="0" w:name="_Toc51339692"/>
      <w:bookmarkStart w:id="1" w:name="_Toc162430460"/>
      <w:bookmarkStart w:id="2" w:name="_Toc157599445"/>
      <w:bookmarkStart w:id="3" w:name="_Toc75446566"/>
      <w:r>
        <w:rPr>
          <w:rFonts w:eastAsia="Calibri"/>
          <w:b/>
          <w:lang w:eastAsia="x-none"/>
        </w:rPr>
        <w:t>1. Общие сведения</w:t>
      </w:r>
      <w:bookmarkEnd w:id="0"/>
      <w:bookmarkEnd w:id="1"/>
      <w:bookmarkEnd w:id="2"/>
      <w:bookmarkEnd w:id="3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lang w:eastAsia="x-none"/>
        </w:rPr>
      </w:pPr>
      <w:bookmarkStart w:id="4" w:name="_Toc162430461"/>
      <w:bookmarkStart w:id="5" w:name="_Toc157599446"/>
      <w:bookmarkStart w:id="6" w:name="_Toc75446568"/>
      <w:bookmarkStart w:id="7" w:name="_Toc46743506"/>
      <w:r>
        <w:rPr>
          <w:rFonts w:eastAsia="Calibri"/>
          <w:b/>
          <w:lang w:eastAsia="x-none"/>
        </w:rPr>
        <w:t>1</w:t>
      </w:r>
      <w:r>
        <w:rPr>
          <w:rFonts w:eastAsia="Calibri"/>
          <w:b/>
          <w:sz w:val="24"/>
          <w:szCs w:val="24"/>
          <w:lang w:eastAsia="x-none"/>
        </w:rPr>
        <w:t>.1. Наименование закупаемой продукции</w:t>
      </w:r>
      <w:bookmarkEnd w:id="4"/>
      <w:bookmarkEnd w:id="5"/>
      <w:bookmarkEnd w:id="6"/>
      <w:bookmarkEnd w:id="7"/>
    </w:p>
    <w:p>
      <w:pPr>
        <w:pStyle w:val="Normal"/>
        <w:rPr>
          <w:sz w:val="24"/>
          <w:szCs w:val="24"/>
        </w:rPr>
      </w:pPr>
      <w:r>
        <w:rPr>
          <w:bCs/>
          <w:sz w:val="24"/>
          <w:szCs w:val="24"/>
          <w:lang w:eastAsia="x-none"/>
        </w:rPr>
        <w:t>ОКПД2 28.12.15.190 Поставка гидроструйного аппарата для нужд Жигулевского филиала (далее – Продукция).</w:t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8" w:name="_Toc75446569"/>
      <w:bookmarkStart w:id="9" w:name="_Toc162430462"/>
      <w:bookmarkStart w:id="10" w:name="_Toc157599447"/>
      <w:bookmarkStart w:id="11" w:name="_Toc46743507"/>
      <w:r>
        <w:rPr>
          <w:rFonts w:eastAsia="Calibri"/>
          <w:b/>
          <w:sz w:val="24"/>
          <w:szCs w:val="24"/>
          <w:lang w:eastAsia="x-none"/>
        </w:rPr>
        <w:t xml:space="preserve">1.2. Цель </w:t>
      </w:r>
      <w:bookmarkEnd w:id="11"/>
      <w:r>
        <w:rPr>
          <w:rFonts w:eastAsia="Calibri"/>
          <w:b/>
          <w:sz w:val="24"/>
          <w:szCs w:val="24"/>
          <w:lang w:eastAsia="x-none"/>
        </w:rPr>
        <w:t>использования закупаемой продукции</w:t>
      </w:r>
      <w:bookmarkEnd w:id="8"/>
      <w:bookmarkEnd w:id="9"/>
      <w:bookmarkEnd w:id="10"/>
      <w:r>
        <w:rPr>
          <w:rFonts w:eastAsia="Calibri"/>
          <w:b/>
          <w:sz w:val="24"/>
          <w:szCs w:val="24"/>
          <w:lang w:eastAsia="x-none"/>
        </w:rPr>
        <w:t xml:space="preserve"> </w:t>
      </w:r>
    </w:p>
    <w:p>
      <w:pPr>
        <w:pStyle w:val="Normal"/>
        <w:jc w:val="both"/>
        <w:rPr>
          <w:sz w:val="24"/>
          <w:szCs w:val="24"/>
        </w:rPr>
      </w:pPr>
      <w:r>
        <w:rPr>
          <w:bCs/>
          <w:sz w:val="24"/>
          <w:szCs w:val="24"/>
          <w:lang w:eastAsia="x-none"/>
        </w:rPr>
        <w:t xml:space="preserve">Исполнение инвестиционной программы 2026г. </w:t>
      </w:r>
    </w:p>
    <w:p>
      <w:pPr>
        <w:pStyle w:val="Normal"/>
        <w:keepNext w:val="true"/>
        <w:keepLines/>
        <w:numPr>
          <w:ilvl w:val="0"/>
          <w:numId w:val="0"/>
        </w:numPr>
        <w:spacing w:before="120" w:after="60"/>
        <w:ind w:left="357" w:hanging="357"/>
        <w:jc w:val="center"/>
        <w:outlineLvl w:val="0"/>
        <w:rPr>
          <w:sz w:val="24"/>
          <w:szCs w:val="24"/>
        </w:rPr>
      </w:pPr>
      <w:bookmarkStart w:id="12" w:name="_Toc157599448"/>
      <w:bookmarkStart w:id="13" w:name="_Toc51339693"/>
      <w:bookmarkStart w:id="14" w:name="_Toc162430463"/>
      <w:bookmarkStart w:id="15" w:name="_Toc75446573"/>
      <w:bookmarkStart w:id="16" w:name="_Toc50125126"/>
      <w:bookmarkEnd w:id="16"/>
      <w:r>
        <w:rPr>
          <w:rFonts w:eastAsia="Calibri"/>
          <w:b/>
          <w:iCs/>
          <w:sz w:val="24"/>
          <w:szCs w:val="24"/>
          <w:lang w:eastAsia="x-none"/>
        </w:rPr>
        <w:t xml:space="preserve">2. </w:t>
      </w:r>
      <w:r>
        <w:rPr>
          <w:rFonts w:eastAsia="Calibri"/>
          <w:b/>
          <w:iCs/>
          <w:sz w:val="24"/>
          <w:szCs w:val="24"/>
          <w:lang w:val="x-none" w:eastAsia="x-none"/>
        </w:rPr>
        <w:t>Требования к продукции</w:t>
      </w:r>
      <w:bookmarkEnd w:id="12"/>
      <w:bookmarkEnd w:id="13"/>
      <w:bookmarkEnd w:id="14"/>
      <w:bookmarkEnd w:id="15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17" w:name="_Toc157599449"/>
      <w:bookmarkStart w:id="18" w:name="_Toc162430464"/>
      <w:bookmarkStart w:id="19" w:name="_Toc75446574"/>
      <w:r>
        <w:rPr>
          <w:rFonts w:eastAsia="Calibri"/>
          <w:b/>
          <w:sz w:val="24"/>
          <w:szCs w:val="24"/>
          <w:lang w:eastAsia="x-none"/>
        </w:rPr>
        <w:t>2.1. Требования к объемам и срокам поставки</w:t>
      </w:r>
      <w:bookmarkEnd w:id="17"/>
      <w:bookmarkEnd w:id="18"/>
      <w:bookmarkEnd w:id="19"/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20" w:name="_Toc157599450"/>
      <w:bookmarkStart w:id="21" w:name="_Toc162430465"/>
      <w:bookmarkStart w:id="22" w:name="_Toc75446575"/>
      <w:r>
        <w:rPr>
          <w:rFonts w:eastAsia="Calibri"/>
          <w:b/>
          <w:sz w:val="24"/>
          <w:szCs w:val="24"/>
          <w:lang w:eastAsia="x-none"/>
        </w:rPr>
        <w:t>2.1.1. Перечень и объем закупаемой продукции</w:t>
      </w:r>
      <w:bookmarkEnd w:id="20"/>
      <w:bookmarkEnd w:id="21"/>
      <w:bookmarkEnd w:id="22"/>
    </w:p>
    <w:p>
      <w:pPr>
        <w:pStyle w:val="Normal"/>
        <w:jc w:val="right"/>
        <w:rPr>
          <w:sz w:val="24"/>
          <w:szCs w:val="24"/>
        </w:rPr>
      </w:pPr>
      <w:r>
        <w:rPr>
          <w:rFonts w:eastAsia="Calibri"/>
          <w:sz w:val="24"/>
          <w:szCs w:val="24"/>
        </w:rPr>
        <w:t>Таблица 1.1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Перечень и объем закупаемой продукции</w:t>
      </w:r>
    </w:p>
    <w:tbl>
      <w:tblPr>
        <w:tblW w:w="10571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63"/>
        <w:gridCol w:w="6942"/>
        <w:gridCol w:w="1595"/>
        <w:gridCol w:w="1270"/>
      </w:tblGrid>
      <w:tr>
        <w:trPr>
          <w:trHeight w:val="2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</w:tr>
      <w:tr>
        <w:trPr>
          <w:trHeight w:val="20" w:hRule="atLeast"/>
        </w:trPr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x-none"/>
              </w:rPr>
              <w:t>Гидроструйный аппарат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2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Normal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jc w:val="right"/>
        <w:rPr>
          <w:rFonts w:eastAsia="Calibri"/>
          <w:b/>
          <w:sz w:val="24"/>
          <w:szCs w:val="24"/>
          <w:lang w:eastAsia="x-none"/>
        </w:rPr>
      </w:pPr>
      <w:r>
        <w:rPr>
          <w:rFonts w:eastAsia="Calibri"/>
          <w:b/>
          <w:sz w:val="24"/>
          <w:szCs w:val="24"/>
          <w:lang w:eastAsia="x-none"/>
        </w:rPr>
      </w:r>
    </w:p>
    <w:p>
      <w:pPr>
        <w:pStyle w:val="Normal"/>
        <w:keepNext w:val="true"/>
        <w:numPr>
          <w:ilvl w:val="0"/>
          <w:numId w:val="0"/>
        </w:numPr>
        <w:spacing w:before="120" w:after="60"/>
        <w:ind w:left="0" w:hanging="0"/>
        <w:outlineLvl w:val="2"/>
        <w:rPr>
          <w:sz w:val="24"/>
          <w:szCs w:val="24"/>
        </w:rPr>
      </w:pPr>
      <w:bookmarkStart w:id="23" w:name="_Toc162430466"/>
      <w:bookmarkStart w:id="24" w:name="_Toc75446578"/>
      <w:bookmarkStart w:id="25" w:name="_Toc157599451"/>
      <w:bookmarkStart w:id="26" w:name="_Toc51339696"/>
      <w:r>
        <w:rPr>
          <w:rFonts w:eastAsia="Calibri"/>
          <w:b/>
          <w:sz w:val="24"/>
          <w:szCs w:val="24"/>
          <w:lang w:eastAsia="x-none"/>
        </w:rPr>
        <w:t xml:space="preserve">2.1.2. Требования </w:t>
      </w:r>
      <w:bookmarkEnd w:id="26"/>
      <w:r>
        <w:rPr>
          <w:rFonts w:eastAsia="Calibri"/>
          <w:b/>
          <w:sz w:val="24"/>
          <w:szCs w:val="24"/>
          <w:lang w:eastAsia="x-none"/>
        </w:rPr>
        <w:t>к срокам поставки продукции</w:t>
      </w:r>
      <w:bookmarkEnd w:id="23"/>
      <w:bookmarkEnd w:id="24"/>
      <w:bookmarkEnd w:id="25"/>
    </w:p>
    <w:p>
      <w:pPr>
        <w:pStyle w:val="Normal"/>
        <w:jc w:val="right"/>
        <w:rPr>
          <w:sz w:val="24"/>
          <w:szCs w:val="24"/>
        </w:rPr>
      </w:pPr>
      <w:bookmarkStart w:id="27" w:name="_Toc75446579"/>
      <w:bookmarkStart w:id="28" w:name="_Toc51339697"/>
      <w:bookmarkStart w:id="29" w:name="_Toc50125127"/>
      <w:bookmarkStart w:id="30" w:name="_Toc50125126_Копия_1"/>
      <w:bookmarkEnd w:id="30"/>
      <w:r>
        <w:rPr>
          <w:rFonts w:eastAsia="Calibri"/>
          <w:sz w:val="24"/>
          <w:szCs w:val="24"/>
        </w:rPr>
        <w:t xml:space="preserve">Таблица 2.1 </w:t>
      </w:r>
      <w:bookmarkStart w:id="31" w:name="_Hlk50465284"/>
      <w:r>
        <w:rPr>
          <w:rFonts w:eastAsia="Calibri"/>
          <w:sz w:val="24"/>
          <w:szCs w:val="24"/>
        </w:rPr>
        <w:t xml:space="preserve">Требования по срокам </w:t>
      </w:r>
      <w:bookmarkEnd w:id="28"/>
      <w:bookmarkEnd w:id="29"/>
      <w:bookmarkEnd w:id="31"/>
      <w:r>
        <w:rPr>
          <w:rFonts w:eastAsia="Calibri"/>
          <w:sz w:val="24"/>
          <w:szCs w:val="24"/>
        </w:rPr>
        <w:t>поставки продукции</w:t>
      </w:r>
      <w:bookmarkEnd w:id="27"/>
      <w:r>
        <w:rPr>
          <w:rFonts w:eastAsia="Calibri"/>
          <w:sz w:val="24"/>
          <w:szCs w:val="24"/>
        </w:rPr>
        <w:t xml:space="preserve"> </w:t>
      </w:r>
    </w:p>
    <w:tbl>
      <w:tblPr>
        <w:tblW w:w="10530" w:type="dxa"/>
        <w:jc w:val="left"/>
        <w:tblInd w:w="3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2"/>
        <w:gridCol w:w="3605"/>
        <w:gridCol w:w="2691"/>
        <w:gridCol w:w="3391"/>
      </w:tblGrid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40" w:after="40"/>
              <w:ind w:left="57" w:right="57" w:hanging="0"/>
              <w:jc w:val="center"/>
              <w:rPr>
                <w:sz w:val="24"/>
                <w:szCs w:val="24"/>
              </w:rPr>
            </w:pPr>
            <w:bookmarkStart w:id="32" w:name="_Toc46743510"/>
            <w:r>
              <w:rPr>
                <w:b/>
                <w:sz w:val="24"/>
                <w:szCs w:val="24"/>
              </w:rPr>
              <w:t>4</w:t>
            </w:r>
            <w:bookmarkEnd w:id="32"/>
          </w:p>
        </w:tc>
      </w:tr>
      <w:tr>
        <w:trPr/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pacing w:before="0" w:after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Продукция по перечню п 2.1.1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заключения договора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 60 (шестидесяти)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календарных дней с даты заключения договора</w:t>
            </w:r>
          </w:p>
        </w:tc>
      </w:tr>
    </w:tbl>
    <w:p>
      <w:pPr>
        <w:sectPr>
          <w:footerReference w:type="default" r:id="rId2"/>
          <w:type w:val="nextPage"/>
          <w:pgSz w:w="11906" w:h="16838"/>
          <w:pgMar w:left="851" w:right="425" w:gutter="0" w:header="0" w:top="1134" w:footer="0" w:bottom="1134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spacing w:before="120" w:after="60"/>
        <w:ind w:left="0" w:hanging="0"/>
        <w:outlineLvl w:val="2"/>
        <w:rPr>
          <w:rFonts w:eastAsia="Calibri"/>
          <w:b/>
          <w:iCs/>
          <w:caps/>
          <w:lang w:eastAsia="x-none"/>
        </w:rPr>
      </w:pPr>
      <w:r>
        <w:rPr>
          <w:rFonts w:eastAsia="Calibri"/>
          <w:b/>
          <w:iCs/>
          <w:lang w:eastAsia="x-none"/>
        </w:rPr>
        <w:t xml:space="preserve">2.2. </w:t>
      </w:r>
      <w:r>
        <w:rPr>
          <w:rFonts w:eastAsia="Calibri"/>
          <w:b/>
          <w:iCs/>
          <w:lang w:val="x-none" w:eastAsia="x-none"/>
        </w:rPr>
        <w:t xml:space="preserve">Требования к </w:t>
      </w:r>
      <w:r>
        <w:rPr>
          <w:rFonts w:eastAsia="Calibri"/>
          <w:b/>
          <w:iCs/>
          <w:lang w:eastAsia="x-none"/>
        </w:rPr>
        <w:t xml:space="preserve">качеству </w:t>
      </w:r>
      <w:r>
        <w:rPr>
          <w:rFonts w:eastAsia="Calibri"/>
          <w:b/>
          <w:iCs/>
          <w:lang w:val="x-none" w:eastAsia="x-none"/>
        </w:rPr>
        <w:t>продукции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Таблица 3 Требования к качеству продукции.</w:t>
      </w:r>
    </w:p>
    <w:p>
      <w:pPr>
        <w:pStyle w:val="Normal"/>
        <w:rPr>
          <w:rFonts w:eastAsia="Calibri"/>
        </w:rPr>
      </w:pPr>
      <w:r>
        <w:rPr>
          <w:rFonts w:eastAsia="Calibri"/>
        </w:rPr>
        <w:t>Наименование закупаемой продукции: «</w:t>
      </w:r>
      <w:r>
        <w:rPr>
          <w:rFonts w:eastAsia="Calibri"/>
          <w:bCs/>
          <w:lang w:eastAsia="x-none"/>
        </w:rPr>
        <w:t>ОКПД2 28.12.15.190 Поставка гидроструйного аппарата для нужд Жигулевского филиала</w:t>
      </w:r>
      <w:r>
        <w:rPr>
          <w:rFonts w:eastAsia="Calibri"/>
        </w:rPr>
        <w:t>»</w:t>
      </w:r>
    </w:p>
    <w:tbl>
      <w:tblPr>
        <w:tblpPr w:bottomFromText="0" w:horzAnchor="text" w:leftFromText="180" w:rightFromText="180" w:tblpX="0" w:tblpY="1" w:topFromText="0" w:vertAnchor="text"/>
        <w:tblW w:w="1459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3"/>
        <w:gridCol w:w="1757"/>
        <w:gridCol w:w="6757"/>
        <w:gridCol w:w="4953"/>
      </w:tblGrid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1.1.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Гидроструйный аппарат</w:t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000000"/>
                <w:sz w:val="20"/>
                <w:szCs w:val="20"/>
              </w:rPr>
              <w:t>Рабочее давление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50-400 бар</w:t>
            </w:r>
          </w:p>
        </w:tc>
      </w:tr>
      <w:tr>
        <w:trPr/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1.2.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Регулировка давления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Есть, плавная (регулировочный клапан, система By-pass)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1.3.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 воды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менее 15 л/мин</w:t>
            </w:r>
          </w:p>
        </w:tc>
      </w:tr>
      <w:tr>
        <w:trPr>
          <w:trHeight w:val="184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1.4.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Насос высокого давления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Трехплунжерный, кривошипно-шатунный, с керамическими плунжерами</w:t>
            </w:r>
          </w:p>
        </w:tc>
      </w:tr>
      <w:tr>
        <w:trPr>
          <w:trHeight w:val="184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1.5.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привода насоса ВД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Фланцевое соединение</w:t>
            </w:r>
          </w:p>
        </w:tc>
      </w:tr>
      <w:tr>
        <w:trPr>
          <w:trHeight w:val="184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1.6.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насоса ВД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Термодатчик защиты от перегрева. Защита от сухого хода насоса, защитный клапан по высокому давлению.</w:t>
            </w:r>
          </w:p>
        </w:tc>
      </w:tr>
      <w:tr>
        <w:trPr>
          <w:trHeight w:val="184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1.7.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Двигатель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Электрический двигатель, взрывозащищённое исполнение. Мощность - 11 кВт (380В, 50Гц). Оснащен защитой от перегрузки по току.</w:t>
            </w:r>
          </w:p>
        </w:tc>
      </w:tr>
      <w:tr>
        <w:trPr>
          <w:trHeight w:val="542" w:hRule="atLeast"/>
        </w:trPr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1.8.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двигателем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numPr>
                <w:ilvl w:val="0"/>
                <w:numId w:val="0"/>
              </w:numPr>
              <w:ind w:left="0" w:hanging="0"/>
              <w:jc w:val="center"/>
              <w:rPr/>
            </w:pPr>
            <w:r>
              <w:rPr>
                <w:sz w:val="20"/>
                <w:szCs w:val="20"/>
              </w:rPr>
              <w:t>Пускатель с тепловым реле во влагозащищенном корпусе, взрывозащищенное исполнение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1.9.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Мобильное (тележка на четырех широких пневматических колесах с протектором повышенной прочности, оборудована тормозом). Диаметр колес 13” (300-330мм), высокая проходимость по любой поверхности.</w:t>
            </w:r>
          </w:p>
        </w:tc>
      </w:tr>
      <w:tr>
        <w:trPr/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1.10.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Вес</w:t>
            </w:r>
          </w:p>
        </w:tc>
        <w:tc>
          <w:tcPr>
            <w:tcW w:w="4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Не более 130 кг</w:t>
            </w:r>
          </w:p>
        </w:tc>
      </w:tr>
      <w:tr>
        <w:trPr>
          <w:trHeight w:val="224" w:hRule="atLeast"/>
        </w:trPr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1.11.</w:t>
            </w:r>
          </w:p>
        </w:tc>
        <w:tc>
          <w:tcPr>
            <w:tcW w:w="1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0"/>
                <w:szCs w:val="20"/>
              </w:rPr>
              <w:t>Габариты</w:t>
            </w:r>
          </w:p>
        </w:tc>
        <w:tc>
          <w:tcPr>
            <w:tcW w:w="4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1105х685х915 мм</w:t>
            </w:r>
          </w:p>
        </w:tc>
      </w:tr>
      <w:tr>
        <w:trPr/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1.12.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Комплектация:</w:t>
            </w:r>
          </w:p>
        </w:tc>
        <w:tc>
          <w:tcPr>
            <w:tcW w:w="4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1.12.1.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Гидроструйный аппарат</w:t>
            </w:r>
          </w:p>
        </w:tc>
        <w:tc>
          <w:tcPr>
            <w:tcW w:w="4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</w:t>
            </w:r>
          </w:p>
        </w:tc>
      </w:tr>
      <w:tr>
        <w:trPr/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1.12.2.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Шланг про. 6мм х 15м</w:t>
            </w:r>
          </w:p>
        </w:tc>
        <w:tc>
          <w:tcPr>
            <w:tcW w:w="4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</w:t>
            </w:r>
          </w:p>
        </w:tc>
      </w:tr>
      <w:tr>
        <w:trPr/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 w:val="false"/>
                <w:bCs w:val="false"/>
                <w:sz w:val="20"/>
                <w:szCs w:val="20"/>
              </w:rPr>
            </w:pPr>
            <w:r>
              <w:rPr>
                <w:b w:val="false"/>
                <w:bCs w:val="false"/>
                <w:sz w:val="20"/>
                <w:szCs w:val="20"/>
              </w:rPr>
              <w:t>1.12.3.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Пистолет</w:t>
            </w:r>
          </w:p>
        </w:tc>
        <w:tc>
          <w:tcPr>
            <w:tcW w:w="4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шт</w:t>
            </w:r>
          </w:p>
        </w:tc>
      </w:tr>
      <w:tr>
        <w:trPr/>
        <w:tc>
          <w:tcPr>
            <w:tcW w:w="11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1.12.4.</w:t>
            </w:r>
          </w:p>
        </w:tc>
        <w:tc>
          <w:tcPr>
            <w:tcW w:w="175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firstLine="327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67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форсунка для поверхностей</w:t>
            </w:r>
          </w:p>
        </w:tc>
        <w:tc>
          <w:tcPr>
            <w:tcW w:w="4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1шт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1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color w:val="000000" w:themeColor="text1"/>
                <w:sz w:val="20"/>
                <w:szCs w:val="20"/>
              </w:rPr>
              <w:t>Жигулевский филиал АО «Гидроремонт-ВКК» в г. Жигулевск, 445351, РФ, Самарская обл., г. Жигулевск, Жигулевская ГЭС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1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32" w:leader="none"/>
                <w:tab w:val="left" w:pos="459" w:leader="none"/>
              </w:tabs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</w:t>
            </w:r>
          </w:p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0"/>
                <w:szCs w:val="20"/>
                <w:shd w:fill="auto" w:val="clear"/>
                <w:lang w:eastAsia="x-none"/>
              </w:rPr>
              <w:t>рабочего дня до прибытия транспорта.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Продукция должна поставляться в пригодной для транспортировки упаковке, которая может защитить его от воздействия внешних условий, таких как вода, пыль и т. п. Упаковка должна обеспечивать полную сохранность продукции на весь срок его транспортировки с учетом перегрузок и длительного хранения. Поставщик обязан сообщить условия длительного хранения поставленного Оборудования  (допускается определение условий хранения в сопроводительных документах).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На упаковках (ящиках) должно быть указано наименование и количество продукции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1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"/>
              <w:widowControl w:val="false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x-none"/>
              </w:rPr>
              <w:t xml:space="preserve">Не менее </w:t>
            </w:r>
            <w:r>
              <w:rPr>
                <w:color w:val="000000"/>
                <w:sz w:val="20"/>
                <w:szCs w:val="20"/>
                <w:shd w:fill="auto" w:val="clear"/>
                <w:lang w:eastAsia="x-none"/>
              </w:rPr>
              <w:t>24</w:t>
            </w:r>
            <w:r>
              <w:rPr>
                <w:color w:val="000000"/>
                <w:sz w:val="20"/>
                <w:szCs w:val="20"/>
                <w:shd w:fill="auto" w:val="clear"/>
                <w:lang w:eastAsia="x-none"/>
              </w:rPr>
              <w:t xml:space="preserve"> (дв</w:t>
            </w:r>
            <w:r>
              <w:rPr>
                <w:color w:val="000000"/>
                <w:sz w:val="20"/>
                <w:szCs w:val="20"/>
                <w:shd w:fill="auto" w:val="clear"/>
                <w:lang w:eastAsia="x-none"/>
              </w:rPr>
              <w:t>адцати четырех</w:t>
            </w:r>
            <w:r>
              <w:rPr>
                <w:color w:val="000000"/>
                <w:sz w:val="20"/>
                <w:szCs w:val="20"/>
                <w:shd w:fill="auto" w:val="clear"/>
                <w:lang w:eastAsia="x-none"/>
              </w:rPr>
              <w:t>) месяцев с даты подписания Сторонами товарной накладной по форме ТОРГ-12 или Универсального передаточного документа (УПД).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color w:val="auto"/>
                <w:highlight w:val="none"/>
                <w:shd w:fill="auto" w:val="clear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x-none"/>
              </w:rPr>
              <w:t>Условия выполнения гарантийных обязательств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  <w:p>
            <w:pPr>
              <w:pStyle w:val="Normal"/>
              <w:widowControl w:val="false"/>
              <w:rPr>
                <w:color w:val="auto"/>
                <w:sz w:val="20"/>
                <w:szCs w:val="20"/>
                <w:highlight w:val="none"/>
                <w:shd w:fill="auto" w:val="clear"/>
                <w:lang w:eastAsia="x-none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x-none"/>
              </w:rPr>
            </w:r>
          </w:p>
          <w:p>
            <w:pPr>
              <w:pStyle w:val="Normal"/>
              <w:widowControl w:val="false"/>
              <w:rPr>
                <w:color w:val="auto"/>
                <w:sz w:val="20"/>
                <w:szCs w:val="20"/>
                <w:highlight w:val="none"/>
                <w:shd w:fill="auto" w:val="clear"/>
                <w:lang w:eastAsia="x-none"/>
              </w:rPr>
            </w:pPr>
            <w:r>
              <w:rPr>
                <w:color w:val="000000"/>
                <w:sz w:val="20"/>
                <w:szCs w:val="20"/>
                <w:shd w:fill="auto" w:val="clear"/>
                <w:lang w:eastAsia="x-none"/>
              </w:rPr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1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  </w:t>
            </w:r>
            <w:r>
              <w:rPr>
                <w:sz w:val="20"/>
                <w:szCs w:val="20"/>
                <w:lang w:eastAsia="x-none"/>
              </w:rPr>
              <w:t>Одновременно с передачей Оборудования Поставщик обязан передать Покупателю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оригиналы следующих относящихся к нему документов: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паспорт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руководство по эксплуатации (на русском языке);</w:t>
            </w:r>
          </w:p>
          <w:p>
            <w:pPr>
              <w:pStyle w:val="Normal"/>
              <w:widowControl w:val="false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>- накладную ТОРГ-12 (УПД) в 2 (двух) экз.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Style w:val="Style8"/>
                <w:b w:val="false"/>
                <w:bCs/>
                <w:i w:val="false"/>
                <w:i w:val="false"/>
                <w:sz w:val="20"/>
                <w:szCs w:val="20"/>
              </w:rPr>
            </w:pPr>
            <w:r>
              <w:rPr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</w:p>
        </w:tc>
      </w:tr>
      <w:tr>
        <w:trPr/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</w:t>
            </w:r>
          </w:p>
        </w:tc>
        <w:tc>
          <w:tcPr>
            <w:tcW w:w="13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both"/>
              <w:rPr>
                <w:bCs/>
                <w:sz w:val="20"/>
                <w:szCs w:val="20"/>
                <w:lang w:eastAsia="x-none"/>
              </w:rPr>
            </w:pPr>
            <w:r>
              <w:rPr>
                <w:bCs/>
                <w:sz w:val="20"/>
                <w:szCs w:val="20"/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footerReference w:type="first" r:id="rId4"/>
      <w:type w:val="nextPage"/>
      <w:pgSz w:orient="landscape" w:w="16838" w:h="11906"/>
      <w:pgMar w:left="1134" w:right="1134" w:gutter="0" w:header="0" w:top="851" w:footer="822" w:bottom="879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GOST Type BU">
    <w:charset w:val="01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075650718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34414334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>4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GOST Type BU" w:hAnsi="GOST Type BU" w:cs="GOST Type BU" w:hint="default"/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iCs w:val="false"/>
        <w:bCs w:val="false"/>
        <w:em w:val="none"/>
        <w:vanish w:val="false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509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1ac1"/>
    <w:pPr>
      <w:keepNext w:val="true"/>
      <w:outlineLvl w:val="0"/>
    </w:pPr>
    <w:rPr>
      <w:sz w:val="28"/>
      <w:szCs w:val="20"/>
      <w:lang w:eastAsia="en-US"/>
    </w:rPr>
  </w:style>
  <w:style w:type="paragraph" w:styleId="Heading2">
    <w:name w:val="Heading 2"/>
    <w:basedOn w:val="Normal"/>
    <w:next w:val="Normal"/>
    <w:link w:val="2"/>
    <w:qFormat/>
    <w:rsid w:val="00611ac1"/>
    <w:pPr>
      <w:keepNext w:val="true"/>
      <w:jc w:val="center"/>
      <w:outlineLvl w:val="1"/>
    </w:pPr>
    <w:rPr>
      <w:sz w:val="28"/>
      <w:szCs w:val="20"/>
      <w:lang w:val="en-US" w:eastAsia="en-US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35f1e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9b7eec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 w:customStyle="1">
    <w:name w:val="Текст выноски Знак"/>
    <w:basedOn w:val="DefaultParagraphFont"/>
    <w:link w:val="BalloonText"/>
    <w:uiPriority w:val="99"/>
    <w:semiHidden/>
    <w:qFormat/>
    <w:rsid w:val="007436d2"/>
    <w:rPr>
      <w:rFonts w:ascii="Tahoma" w:hAnsi="Tahoma" w:eastAsia="Times New Roman" w:cs="Tahoma"/>
      <w:sz w:val="16"/>
      <w:szCs w:val="16"/>
      <w:lang w:eastAsia="ru-RU"/>
    </w:rPr>
  </w:style>
  <w:style w:type="character" w:styleId="1" w:customStyle="1">
    <w:name w:val="Заголовок 1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</w:rPr>
  </w:style>
  <w:style w:type="character" w:styleId="2" w:customStyle="1">
    <w:name w:val="Заголовок 2 Знак"/>
    <w:basedOn w:val="DefaultParagraphFont"/>
    <w:qFormat/>
    <w:rsid w:val="00611ac1"/>
    <w:rPr>
      <w:rFonts w:ascii="Times New Roman" w:hAnsi="Times New Roman" w:eastAsia="Times New Roman" w:cs="Times New Roman"/>
      <w:sz w:val="28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b405e7"/>
    <w:rPr>
      <w:color w:val="0000FF" w:themeColor="hyperlink"/>
      <w:u w:val="single"/>
    </w:rPr>
  </w:style>
  <w:style w:type="character" w:styleId="Apple-converted-space" w:customStyle="1">
    <w:name w:val="apple-converted-space"/>
    <w:basedOn w:val="DefaultParagraphFont"/>
    <w:qFormat/>
    <w:rsid w:val="00543cd6"/>
    <w:rPr/>
  </w:style>
  <w:style w:type="character" w:styleId="4" w:customStyle="1">
    <w:name w:val="Заголовок 4 Знак"/>
    <w:basedOn w:val="DefaultParagraphFont"/>
    <w:uiPriority w:val="9"/>
    <w:semiHidden/>
    <w:qFormat/>
    <w:rsid w:val="009b7eec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uiPriority w:val="9"/>
    <w:semiHidden/>
    <w:qFormat/>
    <w:rsid w:val="00135f1e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  <w:lang w:eastAsia="ru-RU"/>
    </w:rPr>
  </w:style>
  <w:style w:type="character" w:styleId="Style6" w:customStyle="1">
    <w:name w:val="Основной текст Знак"/>
    <w:basedOn w:val="DefaultParagraphFont"/>
    <w:qFormat/>
    <w:rsid w:val="0087552f"/>
    <w:rPr>
      <w:rFonts w:ascii="Times New Roman" w:hAnsi="Times New Roman" w:eastAsia="Times New Roman" w:cs="Times New Roman"/>
      <w:szCs w:val="20"/>
      <w:lang w:eastAsia="ru-RU"/>
    </w:rPr>
  </w:style>
  <w:style w:type="character" w:styleId="Style7" w:customStyle="1">
    <w:name w:val="Абзац списка Знак"/>
    <w:link w:val="ListParagraph"/>
    <w:uiPriority w:val="99"/>
    <w:qFormat/>
    <w:locked/>
    <w:rsid w:val="004d0468"/>
    <w:rPr>
      <w:rFonts w:ascii="Symbol" w:hAnsi="Symbol" w:eastAsia="Times New Roman" w:cs="Times New Roman"/>
      <w:sz w:val="26"/>
      <w:szCs w:val="26"/>
      <w:lang w:eastAsia="ru-RU"/>
    </w:rPr>
  </w:style>
  <w:style w:type="character" w:styleId="Style8" w:customStyle="1">
    <w:name w:val="комментарий"/>
    <w:qFormat/>
    <w:rsid w:val="004d0468"/>
    <w:rPr>
      <w:b/>
      <w:i/>
      <w:shd w:fill="FFFF99" w:val="clear"/>
    </w:rPr>
  </w:style>
  <w:style w:type="character" w:styleId="PlaceholderText">
    <w:name w:val="Placeholder Text"/>
    <w:basedOn w:val="DefaultParagraphFont"/>
    <w:uiPriority w:val="99"/>
    <w:semiHidden/>
    <w:qFormat/>
    <w:rsid w:val="00fb2cce"/>
    <w:rPr>
      <w:color w:val="808080"/>
    </w:rPr>
  </w:style>
  <w:style w:type="character" w:styleId="Style9" w:customStyle="1">
    <w:name w:val="Ссылка указателя"/>
    <w:qFormat/>
    <w:rPr/>
  </w:style>
  <w:style w:type="character" w:styleId="Style10" w:customStyle="1">
    <w:name w:val="Верх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Нижний колонтитул Знак"/>
    <w:basedOn w:val="DefaultParagraphFont"/>
    <w:uiPriority w:val="99"/>
    <w:qFormat/>
    <w:rsid w:val="00bc101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d5594"/>
    <w:rPr>
      <w:sz w:val="16"/>
      <w:szCs w:val="16"/>
    </w:rPr>
  </w:style>
  <w:style w:type="character" w:styleId="Style12" w:customStyle="1">
    <w:name w:val="Текст примечания Знак"/>
    <w:basedOn w:val="DefaultParagraphFont"/>
    <w:link w:val="Annotationtext"/>
    <w:uiPriority w:val="99"/>
    <w:semiHidden/>
    <w:qFormat/>
    <w:rsid w:val="006d5594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3" w:customStyle="1">
    <w:name w:val="Тема примечания Знак"/>
    <w:basedOn w:val="Style12"/>
    <w:link w:val="Annotationsubject"/>
    <w:uiPriority w:val="99"/>
    <w:semiHidden/>
    <w:qFormat/>
    <w:rsid w:val="006d5594"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Linenumber">
    <w:name w:val="line number"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87552f"/>
    <w:pPr>
      <w:jc w:val="both"/>
    </w:pPr>
    <w:rPr>
      <w:sz w:val="22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" w:customStyle="1">
    <w:name w:val="caption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" w:customStyle="1">
    <w:name w:val="caption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" w:customStyle="1">
    <w:name w:val="caption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" w:customStyle="1">
    <w:name w:val="caption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" w:customStyle="1">
    <w:name w:val="caption111111111"/>
    <w:basedOn w:val="Normal"/>
    <w:qFormat/>
    <w:pPr>
      <w:suppressLineNumbers/>
      <w:spacing w:before="120" w:after="120"/>
    </w:pPr>
    <w:rPr>
      <w:i/>
      <w:iCs/>
    </w:rPr>
  </w:style>
  <w:style w:type="paragraph" w:styleId="Caption1111111111" w:customStyle="1">
    <w:name w:val="caption1111111111"/>
    <w:basedOn w:val="Normal"/>
    <w:qFormat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c82289"/>
    <w:pPr>
      <w:spacing w:beforeAutospacing="1" w:afterAutospacing="1"/>
    </w:pPr>
    <w:rPr/>
  </w:style>
  <w:style w:type="paragraph" w:styleId="ListParagraph">
    <w:name w:val="List Paragraph"/>
    <w:basedOn w:val="Normal"/>
    <w:link w:val="Style7"/>
    <w:uiPriority w:val="34"/>
    <w:qFormat/>
    <w:rsid w:val="00c82289"/>
    <w:pPr>
      <w:numPr>
        <w:ilvl w:val="0"/>
        <w:numId w:val="1"/>
      </w:numPr>
      <w:spacing w:before="0" w:after="0"/>
      <w:contextualSpacing/>
      <w:jc w:val="both"/>
    </w:pPr>
    <w:rPr>
      <w:rFonts w:ascii="Symbol" w:hAnsi="Symbol"/>
      <w:sz w:val="26"/>
      <w:szCs w:val="26"/>
    </w:rPr>
  </w:style>
  <w:style w:type="paragraph" w:styleId="BalloonText">
    <w:name w:val="Balloon Text"/>
    <w:basedOn w:val="Normal"/>
    <w:link w:val="Style5"/>
    <w:uiPriority w:val="99"/>
    <w:semiHidden/>
    <w:unhideWhenUsed/>
    <w:qFormat/>
    <w:rsid w:val="007436d2"/>
    <w:pPr/>
    <w:rPr>
      <w:rFonts w:ascii="Tahoma" w:hAnsi="Tahoma" w:cs="Tahoma"/>
      <w:sz w:val="16"/>
      <w:szCs w:val="16"/>
    </w:rPr>
  </w:style>
  <w:style w:type="paragraph" w:styleId="Style17" w:customStyle="1">
    <w:name w:val="Таблица"/>
    <w:basedOn w:val="Normal"/>
    <w:uiPriority w:val="99"/>
    <w:qFormat/>
    <w:rsid w:val="004d0468"/>
    <w:pPr>
      <w:keepNext w:val="true"/>
      <w:spacing w:before="60" w:after="60"/>
      <w:jc w:val="center"/>
    </w:pPr>
    <w:rPr>
      <w:rFonts w:eastAsia="Calibri"/>
      <w:b/>
      <w:lang w:val="x-none" w:eastAsia="x-none"/>
    </w:rPr>
  </w:style>
  <w:style w:type="paragraph" w:styleId="TOC1">
    <w:name w:val="TOC 1"/>
    <w:basedOn w:val="Normal"/>
    <w:next w:val="Normal"/>
    <w:autoRedefine/>
    <w:uiPriority w:val="39"/>
    <w:unhideWhenUsed/>
    <w:rsid w:val="00351623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351623"/>
    <w:pPr>
      <w:spacing w:before="0" w:after="100"/>
      <w:ind w:left="240" w:hanging="0"/>
    </w:pPr>
    <w:rPr/>
  </w:style>
  <w:style w:type="paragraph" w:styleId="TOC3">
    <w:name w:val="TOC 3"/>
    <w:basedOn w:val="Normal"/>
    <w:next w:val="Normal"/>
    <w:autoRedefine/>
    <w:uiPriority w:val="39"/>
    <w:unhideWhenUsed/>
    <w:rsid w:val="00351623"/>
    <w:pPr>
      <w:spacing w:before="0" w:after="100"/>
      <w:ind w:left="480" w:hanging="0"/>
    </w:pPr>
    <w:rPr/>
  </w:style>
  <w:style w:type="paragraph" w:styleId="Style18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ы"/>
    <w:basedOn w:val="Style18"/>
    <w:qFormat/>
    <w:pPr>
      <w:jc w:val="center"/>
    </w:pPr>
    <w:rPr>
      <w:b/>
      <w:bCs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1"/>
    <w:uiPriority w:val="99"/>
    <w:unhideWhenUsed/>
    <w:rsid w:val="00bc101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link w:val="Style12"/>
    <w:uiPriority w:val="99"/>
    <w:semiHidden/>
    <w:unhideWhenUsed/>
    <w:qFormat/>
    <w:rsid w:val="006d5594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3"/>
    <w:uiPriority w:val="99"/>
    <w:semiHidden/>
    <w:unhideWhenUsed/>
    <w:qFormat/>
    <w:rsid w:val="006d5594"/>
    <w:pPr/>
    <w:rPr>
      <w:b/>
      <w:bCs/>
    </w:rPr>
  </w:style>
  <w:style w:type="paragraph" w:styleId="Revision">
    <w:name w:val="Revision"/>
    <w:uiPriority w:val="99"/>
    <w:semiHidden/>
    <w:qFormat/>
    <w:rsid w:val="00c16985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Style2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2">
    <w:name w:val="Table Grid"/>
    <w:basedOn w:val="a2"/>
    <w:uiPriority w:val="39"/>
    <w:rsid w:val="00477005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67E3A-B0B9-4AB9-88E4-B3BD3F376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Application>AlterOffice/3.4.0.9$Linux_X86_64 LibreOffice_project/b8daf9e823b1a5463a2f48435ddc2e8696e7d4fc</Application>
  <AppVersion>15.0000</AppVersion>
  <Pages>4</Pages>
  <Words>604</Words>
  <Characters>4116</Characters>
  <CharactersWithSpaces>4602</CharactersWithSpaces>
  <Paragraphs>137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2024-12-23T10:13:00Z</dcterms:created>
  <dc:creator>Егорушкин Яков Игоревич</dc:creator>
  <dc:description/>
  <dc:language>ru-RU</dc:language>
  <cp:lastModifiedBy>senchevkv@corp.gidroogk.com</cp:lastModifiedBy>
  <cp:lastPrinted>2024-05-27T07:02:00Z</cp:lastPrinted>
  <dcterms:modified xsi:type="dcterms:W3CDTF">2026-06-16T18:18:36Z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