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7"/>
        <w:numPr>
          <w:ilvl w:val="0"/>
          <w:numId w:val="0"/>
        </w:numPr>
        <w:spacing w:before="0" w:after="120"/>
        <w:ind w:hanging="0" w:left="0"/>
        <w:outlineLvl w:val="0"/>
        <w:rPr>
          <w:sz w:val="24"/>
        </w:rPr>
      </w:pPr>
      <w:r>
        <w:rPr>
          <w:sz w:val="24"/>
        </w:rPr>
        <w:t xml:space="preserve">Договор поставки № </w:t>
      </w:r>
    </w:p>
    <w:p>
      <w:pPr>
        <w:pStyle w:val="17"/>
        <w:numPr>
          <w:ilvl w:val="0"/>
          <w:numId w:val="0"/>
        </w:numPr>
        <w:spacing w:before="0" w:after="120"/>
        <w:ind w:hanging="0" w:left="0"/>
        <w:jc w:val="left"/>
        <w:outlineLvl w:val="0"/>
        <w:rPr>
          <w:sz w:val="24"/>
        </w:rPr>
      </w:pPr>
      <w:r>
        <w:rPr>
          <w:sz w:val="24"/>
        </w:rPr>
        <w:t>г. Невинномысск</w:t>
        <w:tab/>
        <w:tab/>
        <w:tab/>
        <w:tab/>
        <w:t xml:space="preserve">  </w:t>
        <w:tab/>
        <w:tab/>
        <w:t xml:space="preserve"> </w:t>
        <w:tab/>
        <w:tab/>
        <w:t xml:space="preserve">        «»  ____ 2026г.</w:t>
      </w:r>
    </w:p>
    <w:p>
      <w:pPr>
        <w:pStyle w:val="Normal"/>
        <w:spacing w:before="0" w:after="120"/>
        <w:ind w:firstLine="567"/>
        <w:jc w:val="both"/>
        <w:rPr>
          <w:b/>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 действующего на основании ________, и</w:t>
      </w:r>
    </w:p>
    <w:p>
      <w:pPr>
        <w:pStyle w:val="Normal"/>
        <w:spacing w:before="0" w:after="120"/>
        <w:ind w:firstLine="567"/>
        <w:jc w:val="both"/>
        <w:rPr>
          <w:sz w:val="24"/>
          <w:szCs w:val="24"/>
        </w:rPr>
      </w:pPr>
      <w:r>
        <w:rPr>
          <w:b/>
          <w:sz w:val="24"/>
          <w:szCs w:val="24"/>
        </w:rPr>
        <w:t xml:space="preserve">___________________________, </w:t>
      </w:r>
      <w:r>
        <w:rPr>
          <w:sz w:val="24"/>
          <w:szCs w:val="24"/>
        </w:rPr>
        <w:t>именуемое в дальнейшем</w:t>
      </w:r>
      <w:r>
        <w:rPr>
          <w:b/>
          <w:sz w:val="24"/>
          <w:szCs w:val="24"/>
        </w:rPr>
        <w:t xml:space="preserve"> «Поставщик», </w:t>
      </w:r>
      <w:r>
        <w:rPr>
          <w:sz w:val="24"/>
          <w:szCs w:val="24"/>
        </w:rPr>
        <w:t xml:space="preserve">в лице _____ действующего на основании_____ с другой стороны, совместно в дальнейшем именуемые «Стороны», а по отдельности – «Сторона», </w:t>
      </w:r>
    </w:p>
    <w:p>
      <w:pPr>
        <w:pStyle w:val="Normal"/>
        <w:spacing w:before="0" w:after="120"/>
        <w:ind w:firstLine="567"/>
        <w:jc w:val="both"/>
        <w:rPr>
          <w:sz w:val="24"/>
          <w:szCs w:val="24"/>
        </w:rPr>
      </w:pPr>
      <w:r>
        <w:rPr>
          <w:sz w:val="24"/>
          <w:szCs w:val="24"/>
        </w:rPr>
        <w:t>на основании проведенной нерегламентированной закупки на ОКПД 2: _________, что подтверждается Аналитической запиской ______________2026 г.</w:t>
      </w:r>
    </w:p>
    <w:p>
      <w:pPr>
        <w:pStyle w:val="Normal"/>
        <w:spacing w:before="0" w:after="120"/>
        <w:ind w:firstLine="567"/>
        <w:jc w:val="both"/>
        <w:rPr>
          <w:b/>
          <w:bCs/>
          <w:sz w:val="24"/>
          <w:szCs w:val="24"/>
        </w:rPr>
      </w:pPr>
      <w:r>
        <w:rPr>
          <w:sz w:val="24"/>
          <w:szCs w:val="24"/>
        </w:rPr>
        <w:t>заключили настоящий Договор (далее – «Договор») о нижеследующем:</w:t>
      </w:r>
    </w:p>
    <w:p>
      <w:pPr>
        <w:pStyle w:val="Normal"/>
        <w:widowControl w:val="false"/>
        <w:numPr>
          <w:ilvl w:val="0"/>
          <w:numId w:val="10"/>
        </w:numPr>
        <w:shd w:val="clear" w:color="auto" w:fill="FFFFFF"/>
        <w:tabs>
          <w:tab w:val="clear" w:pos="720"/>
          <w:tab w:val="left" w:pos="426" w:leader="none"/>
        </w:tabs>
        <w:spacing w:before="0" w:after="120"/>
        <w:ind w:hanging="0" w:left="0"/>
        <w:jc w:val="center"/>
        <w:rPr>
          <w:sz w:val="24"/>
        </w:rPr>
      </w:pPr>
      <w:r>
        <w:rPr>
          <w:b/>
          <w:bCs/>
          <w:sz w:val="24"/>
          <w:szCs w:val="24"/>
        </w:rPr>
        <w:t>Предмет Договора</w:t>
      </w:r>
    </w:p>
    <w:p>
      <w:pPr>
        <w:pStyle w:val="17"/>
        <w:numPr>
          <w:ilvl w:val="1"/>
          <w:numId w:val="10"/>
        </w:numPr>
        <w:tabs>
          <w:tab w:val="clear" w:pos="720"/>
          <w:tab w:val="left" w:pos="993" w:leader="none"/>
        </w:tabs>
        <w:spacing w:before="0" w:after="120"/>
        <w:ind w:firstLine="709" w:left="0"/>
        <w:jc w:val="both"/>
        <w:rPr>
          <w:b w:val="false"/>
          <w:bCs w:val="false"/>
          <w:sz w:val="24"/>
          <w:lang w:eastAsia="ru-RU"/>
        </w:rPr>
      </w:pPr>
      <w:r>
        <w:rPr>
          <w:b w:val="false"/>
          <w:sz w:val="24"/>
        </w:rPr>
        <w:t>Поставщик обязуется передать Покупателю 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 xml:space="preserve">Поставка осуществляется одной партией </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Поставка по Договору выполняется для нужд Кубанского филиала АО «Гидроремонт-ВКК» в г. Невинномысск.</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 xml:space="preserve">Место поставки: </w:t>
      </w:r>
      <w:r>
        <w:rPr>
          <w:rFonts w:eastAsia="Calibri"/>
          <w:sz w:val="24"/>
          <w:szCs w:val="24"/>
          <w:lang w:eastAsia="en-US"/>
        </w:rPr>
        <w:t>357007, Ставропольский край, Кочубеевский р-н, с. Кочубеевское, АВТОДОРОГА «КАВКАЗ» 246КМ+1200М(СПРАВА)</w:t>
      </w:r>
      <w:r>
        <w:rPr>
          <w:sz w:val="24"/>
          <w:szCs w:val="24"/>
        </w:rPr>
        <w:t>. (далее – «Место поставки»).</w:t>
      </w:r>
    </w:p>
    <w:p>
      <w:pPr>
        <w:pStyle w:val="ListParagraph"/>
        <w:numPr>
          <w:ilvl w:val="1"/>
          <w:numId w:val="10"/>
        </w:numPr>
        <w:shd w:val="clear" w:color="auto" w:fill="FFFFFF"/>
        <w:tabs>
          <w:tab w:val="clear" w:pos="720"/>
          <w:tab w:val="left" w:pos="142" w:leader="none"/>
          <w:tab w:val="left" w:pos="540" w:leader="none"/>
          <w:tab w:val="left" w:pos="993" w:leader="none"/>
          <w:tab w:val="left" w:pos="1134" w:leader="none"/>
        </w:tabs>
        <w:spacing w:before="0" w:after="120"/>
        <w:ind w:firstLine="567" w:left="0"/>
        <w:contextualSpacing w:val="false"/>
        <w:jc w:val="both"/>
        <w:rPr>
          <w:b/>
          <w:sz w:val="24"/>
          <w:szCs w:val="24"/>
        </w:rPr>
      </w:pPr>
      <w:r>
        <w:rPr>
          <w:sz w:val="24"/>
          <w:szCs w:val="24"/>
        </w:rPr>
        <w:t xml:space="preserve">Срок поставки Продукции по договору: </w:t>
      </w:r>
      <w:r>
        <w:rPr>
          <w:b/>
          <w:sz w:val="24"/>
          <w:szCs w:val="24"/>
          <w:lang w:eastAsia="ru-RU"/>
        </w:rPr>
        <w:t>________________</w:t>
      </w:r>
    </w:p>
    <w:p>
      <w:pPr>
        <w:pStyle w:val="Normal"/>
        <w:widowControl w:val="false"/>
        <w:numPr>
          <w:ilvl w:val="0"/>
          <w:numId w:val="10"/>
        </w:numPr>
        <w:shd w:val="clear" w:color="auto" w:fill="FFFFFF"/>
        <w:tabs>
          <w:tab w:val="clear" w:pos="720"/>
          <w:tab w:val="left" w:pos="426" w:leader="none"/>
          <w:tab w:val="left" w:pos="1134" w:leader="none"/>
        </w:tabs>
        <w:spacing w:before="0" w:after="120"/>
        <w:ind w:hanging="0" w:left="0"/>
        <w:jc w:val="center"/>
        <w:rPr>
          <w:sz w:val="24"/>
          <w:szCs w:val="24"/>
        </w:rPr>
      </w:pPr>
      <w:r>
        <w:rPr>
          <w:b/>
          <w:sz w:val="24"/>
          <w:szCs w:val="24"/>
        </w:rPr>
        <w:t>Цена Договора и порядок оплаты</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Общая стоимость Продукции (далее – «Цена Договора») по Договору составляет: ___________</w:t>
      </w:r>
      <w:r>
        <w:rPr>
          <w:b/>
          <w:sz w:val="24"/>
          <w:szCs w:val="24"/>
        </w:rPr>
        <w:t>(_____) рубля ___ копейки, включая НДС (22%) в сумме_____ (____) рублей ___ копеек</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 xml:space="preserve">Цена Договора включает в себя: </w:t>
      </w:r>
    </w:p>
    <w:p>
      <w:pPr>
        <w:pStyle w:val="ListParagraph"/>
        <w:shd w:val="clear" w:color="auto" w:fill="FFFFFF"/>
        <w:tabs>
          <w:tab w:val="clear" w:pos="720"/>
          <w:tab w:val="left" w:pos="540" w:leader="none"/>
          <w:tab w:val="left" w:pos="1134" w:leader="none"/>
        </w:tabs>
        <w:spacing w:before="0" w:after="120"/>
        <w:ind w:hanging="0" w:left="567"/>
        <w:contextualSpacing w:val="false"/>
        <w:jc w:val="both"/>
        <w:rPr>
          <w:sz w:val="24"/>
          <w:szCs w:val="24"/>
        </w:rPr>
      </w:pPr>
      <w:r>
        <w:rPr>
          <w:sz w:val="24"/>
          <w:szCs w:val="24"/>
        </w:rPr>
        <w:t>2.2.1. Стоимость Продукции;</w:t>
      </w:r>
    </w:p>
    <w:p>
      <w:pPr>
        <w:pStyle w:val="ListParagraph"/>
        <w:shd w:val="clear" w:color="auto" w:fill="FFFFFF"/>
        <w:tabs>
          <w:tab w:val="clear" w:pos="720"/>
          <w:tab w:val="left" w:pos="540" w:leader="none"/>
          <w:tab w:val="left" w:pos="1134" w:leader="none"/>
        </w:tabs>
        <w:spacing w:before="0" w:after="120"/>
        <w:ind w:hanging="0" w:left="0"/>
        <w:contextualSpacing w:val="false"/>
        <w:jc w:val="both"/>
        <w:rPr>
          <w:bCs/>
          <w:sz w:val="24"/>
          <w:szCs w:val="24"/>
        </w:rPr>
      </w:pPr>
      <w:r>
        <w:rPr>
          <w:sz w:val="24"/>
          <w:szCs w:val="24"/>
        </w:rPr>
        <w:t xml:space="preserve">         </w:t>
      </w:r>
      <w:r>
        <w:rPr>
          <w:sz w:val="24"/>
          <w:szCs w:val="24"/>
        </w:rPr>
        <w:t>2.2.2. Транспортные расходы по доставке Продукции в Место поставки.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10"/>
        </w:numPr>
        <w:shd w:val="clear" w:color="auto" w:fill="FFFFFF"/>
        <w:tabs>
          <w:tab w:val="clear" w:pos="720"/>
          <w:tab w:val="left" w:pos="0" w:leader="none"/>
          <w:tab w:val="left" w:pos="851" w:leader="none"/>
          <w:tab w:val="left" w:pos="993" w:leader="none"/>
        </w:tabs>
        <w:spacing w:before="0" w:after="120"/>
        <w:ind w:firstLine="567" w:left="0"/>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10"/>
        </w:numPr>
        <w:shd w:val="clear" w:color="auto" w:fill="FFFFFF"/>
        <w:tabs>
          <w:tab w:val="clear" w:pos="720"/>
          <w:tab w:val="left" w:pos="567" w:leader="none"/>
          <w:tab w:val="left" w:pos="851" w:leader="none"/>
          <w:tab w:val="left" w:pos="993" w:leader="none"/>
        </w:tabs>
        <w:spacing w:before="0" w:after="120"/>
        <w:ind w:firstLine="567" w:left="0"/>
        <w:contextualSpacing w:val="false"/>
        <w:jc w:val="both"/>
        <w:rPr>
          <w:sz w:val="24"/>
          <w:szCs w:val="24"/>
        </w:rPr>
      </w:pPr>
      <w:r>
        <w:rPr>
          <w:sz w:val="24"/>
          <w:szCs w:val="24"/>
        </w:rPr>
        <w:t xml:space="preserve">Стоимость единицы Продукции, а также стоимость Продукции определяется Спецификацией (Приложение № 1). </w:t>
      </w:r>
    </w:p>
    <w:p>
      <w:pPr>
        <w:pStyle w:val="ListParagraph"/>
        <w:numPr>
          <w:ilvl w:val="1"/>
          <w:numId w:val="10"/>
        </w:numPr>
        <w:shd w:val="clear" w:color="auto" w:fill="FFFFFF"/>
        <w:tabs>
          <w:tab w:val="clear" w:pos="720"/>
          <w:tab w:val="left" w:pos="0" w:leader="none"/>
          <w:tab w:val="left" w:pos="851" w:leader="none"/>
          <w:tab w:val="left" w:pos="993" w:leader="none"/>
        </w:tabs>
        <w:spacing w:before="0" w:after="120"/>
        <w:ind w:firstLine="567" w:left="0"/>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146" w:leader="none"/>
        </w:tabs>
        <w:spacing w:before="0" w:after="120"/>
        <w:jc w:val="both"/>
        <w:rPr>
          <w:sz w:val="24"/>
          <w:szCs w:val="24"/>
        </w:rPr>
      </w:pPr>
      <w:r>
        <w:rPr>
          <w:sz w:val="24"/>
          <w:szCs w:val="24"/>
        </w:rPr>
        <w:tab/>
        <w:t xml:space="preserve">2.5.1. Платеж </w:t>
      </w:r>
      <w:r>
        <w:rPr>
          <w:b/>
          <w:sz w:val="24"/>
          <w:szCs w:val="24"/>
        </w:rPr>
        <w:t>в размере 100 (сто) % от стоимости поставленной Продукции, согласно Спецификации, производится Покупателем в срок не более 30 (тридцать) календарных дней/7 (семи) рабочих дней</w:t>
      </w:r>
      <w:r>
        <w:rPr>
          <w:rStyle w:val="FootnoteReference"/>
          <w:b/>
          <w:sz w:val="24"/>
          <w:szCs w:val="24"/>
        </w:rPr>
        <w:footnoteReference w:id="2"/>
      </w:r>
      <w:r>
        <w:rPr>
          <w:rStyle w:val="33"/>
          <w:b/>
          <w:sz w:val="24"/>
          <w:szCs w:val="24"/>
        </w:rPr>
        <w:t xml:space="preserve"> </w:t>
      </w:r>
      <w:r>
        <w:rPr>
          <w:b/>
          <w:sz w:val="24"/>
          <w:szCs w:val="24"/>
        </w:rPr>
        <w:t xml:space="preserve">с даты подписания Товарной накладной по форме ТОРГ-12 или Универсального передаточного документа (УПД) </w:t>
      </w:r>
      <w:r>
        <w:rPr>
          <w:sz w:val="24"/>
          <w:szCs w:val="24"/>
        </w:rPr>
        <w:t xml:space="preserve">на соответствующую Продукцию, при условии получении счета, выставленного Поставщиком с учетом п. 2.5.2 Договора. </w:t>
      </w:r>
    </w:p>
    <w:p>
      <w:pPr>
        <w:pStyle w:val="Normal"/>
        <w:numPr>
          <w:ilvl w:val="2"/>
          <w:numId w:val="15"/>
        </w:numPr>
        <w:shd w:val="clear" w:color="auto" w:fill="FFFFFF"/>
        <w:tabs>
          <w:tab w:val="clear" w:pos="720"/>
          <w:tab w:val="left" w:pos="567" w:leader="none"/>
          <w:tab w:val="left" w:pos="1146" w:leader="none"/>
        </w:tabs>
        <w:spacing w:before="0" w:after="120"/>
        <w:ind w:firstLine="567" w:left="0"/>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 w:val="left" w:pos="1283" w:leader="none"/>
        </w:tabs>
        <w:ind w:firstLine="567" w:left="0"/>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15"/>
        </w:numPr>
        <w:shd w:val="clear" w:color="auto" w:fill="FFFFFF"/>
        <w:tabs>
          <w:tab w:val="clear" w:pos="720"/>
          <w:tab w:val="left" w:pos="0" w:leader="none"/>
          <w:tab w:val="left" w:pos="480" w:leader="none"/>
          <w:tab w:val="left" w:pos="851" w:leader="none"/>
          <w:tab w:val="left" w:pos="1134" w:leader="none"/>
        </w:tabs>
        <w:spacing w:before="0" w:after="120"/>
        <w:ind w:firstLine="567" w:left="0"/>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283" w:leader="none"/>
        </w:tabs>
        <w:ind w:firstLine="567" w:left="0"/>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0" w:leader="none"/>
          <w:tab w:val="left" w:pos="851" w:leader="none"/>
          <w:tab w:val="left" w:pos="1134" w:leader="none"/>
        </w:tabs>
        <w:spacing w:before="0" w:after="120"/>
        <w:ind w:firstLine="567" w:left="0"/>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0" w:leader="none"/>
          <w:tab w:val="left" w:pos="851" w:leader="none"/>
          <w:tab w:val="left" w:pos="1134" w:leader="none"/>
        </w:tabs>
        <w:spacing w:before="0" w:after="120"/>
        <w:ind w:firstLine="567" w:left="0"/>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такие задержки происходят по вине Покупателя;</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0" w:leader="none"/>
          <w:tab w:val="left" w:pos="851" w:leader="none"/>
          <w:tab w:val="left" w:pos="1134" w:leader="none"/>
        </w:tabs>
        <w:spacing w:before="0" w:after="120"/>
        <w:ind w:firstLine="567" w:left="0"/>
        <w:contextualSpacing w:val="false"/>
        <w:jc w:val="both"/>
        <w:rPr>
          <w:b/>
          <w:sz w:val="24"/>
          <w:szCs w:val="24"/>
        </w:rPr>
      </w:pPr>
      <w:r>
        <w:rPr>
          <w:sz w:val="24"/>
          <w:szCs w:val="24"/>
        </w:rPr>
        <w:t>Индексация Цены Договора не допускается.</w:t>
      </w:r>
    </w:p>
    <w:p>
      <w:pPr>
        <w:pStyle w:val="ListParagraph"/>
        <w:numPr>
          <w:ilvl w:val="1"/>
          <w:numId w:val="15"/>
        </w:numPr>
        <w:tabs>
          <w:tab w:val="clear" w:pos="720"/>
          <w:tab w:val="left" w:pos="0" w:leader="none"/>
          <w:tab w:val="left" w:pos="851" w:leader="none"/>
          <w:tab w:val="left" w:pos="1134" w:leader="none"/>
        </w:tabs>
        <w:spacing w:before="0" w:after="120"/>
        <w:ind w:firstLine="567" w:left="0"/>
        <w:contextualSpacing w:val="false"/>
        <w:jc w:val="both"/>
        <w:rPr>
          <w:b w:val="false"/>
          <w:bCs w:val="false"/>
          <w:sz w:val="24"/>
          <w:szCs w:val="24"/>
        </w:rPr>
      </w:pPr>
      <w:r>
        <w:rPr>
          <w:b w:val="false"/>
          <w:bCs w:val="false"/>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pPr>
        <w:pStyle w:val="Normal"/>
        <w:widowControl w:val="false"/>
        <w:numPr>
          <w:ilvl w:val="0"/>
          <w:numId w:val="15"/>
        </w:numPr>
        <w:shd w:val="clear" w:color="auto" w:fill="FFFFFF"/>
        <w:tabs>
          <w:tab w:val="clear" w:pos="720"/>
          <w:tab w:val="left" w:pos="426" w:leader="none"/>
        </w:tabs>
        <w:spacing w:before="0" w:after="120"/>
        <w:ind w:hanging="0" w:left="0"/>
        <w:jc w:val="center"/>
        <w:rPr>
          <w:sz w:val="24"/>
          <w:szCs w:val="24"/>
        </w:rPr>
      </w:pPr>
      <w:r>
        <w:rPr>
          <w:b/>
          <w:sz w:val="24"/>
          <w:szCs w:val="24"/>
        </w:rPr>
        <w:t>Качество, количество и комплектность</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6"/>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z w:val="24"/>
          <w:szCs w:val="24"/>
        </w:rPr>
      </w:pPr>
      <w:r>
        <w:rPr>
          <w:sz w:val="24"/>
          <w:szCs w:val="24"/>
        </w:rPr>
        <w:t>Сертификат качества в 1 экз.;</w:t>
      </w:r>
    </w:p>
    <w:p>
      <w:pPr>
        <w:pStyle w:val="Normal"/>
        <w:widowControl w:val="false"/>
        <w:numPr>
          <w:ilvl w:val="0"/>
          <w:numId w:val="6"/>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z w:val="24"/>
          <w:szCs w:val="24"/>
        </w:rPr>
      </w:pPr>
      <w:r>
        <w:rPr>
          <w:sz w:val="24"/>
          <w:szCs w:val="24"/>
        </w:rPr>
        <w:t>Упаковочный лист на Продукцию 1 экз.;</w:t>
      </w:r>
    </w:p>
    <w:p>
      <w:pPr>
        <w:pStyle w:val="Normal"/>
        <w:widowControl w:val="false"/>
        <w:numPr>
          <w:ilvl w:val="0"/>
          <w:numId w:val="6"/>
        </w:numPr>
        <w:shd w:val="clear" w:color="auto" w:fill="FFFFFF"/>
        <w:tabs>
          <w:tab w:val="clear" w:pos="720"/>
          <w:tab w:val="left" w:pos="851" w:leader="none"/>
          <w:tab w:val="left" w:pos="900" w:leader="none"/>
          <w:tab w:val="left" w:pos="1134" w:leader="none"/>
          <w:tab w:val="left" w:pos="1276" w:leader="none"/>
        </w:tabs>
        <w:spacing w:before="0" w:after="120"/>
        <w:ind w:firstLine="567" w:left="0"/>
        <w:jc w:val="both"/>
        <w:rPr>
          <w:sz w:val="24"/>
          <w:szCs w:val="24"/>
        </w:rPr>
      </w:pPr>
      <w:r>
        <w:rPr>
          <w:sz w:val="24"/>
          <w:szCs w:val="24"/>
        </w:rPr>
        <w:t>Обязательные первичные документы:</w:t>
      </w:r>
    </w:p>
    <w:p>
      <w:pPr>
        <w:pStyle w:val="Normal"/>
        <w:widowControl w:val="false"/>
        <w:numPr>
          <w:ilvl w:val="0"/>
          <w:numId w:val="6"/>
        </w:numPr>
        <w:shd w:val="clear" w:color="auto" w:fill="FFFFFF"/>
        <w:tabs>
          <w:tab w:val="clear" w:pos="720"/>
          <w:tab w:val="left" w:pos="851" w:leader="none"/>
          <w:tab w:val="left" w:pos="900" w:leader="none"/>
          <w:tab w:val="left" w:pos="1134" w:leader="none"/>
          <w:tab w:val="left" w:pos="1276" w:leader="none"/>
        </w:tabs>
        <w:spacing w:before="0" w:after="120"/>
        <w:ind w:firstLine="567" w:left="0"/>
        <w:jc w:val="both"/>
        <w:rPr>
          <w:rFonts w:ascii="Symbol" w:hAnsi="Symbol" w:cs="Symbol"/>
          <w:sz w:val="24"/>
          <w:szCs w:val="24"/>
        </w:rPr>
      </w:pPr>
      <w:r>
        <w:rPr>
          <w:sz w:val="24"/>
          <w:szCs w:val="24"/>
        </w:rPr>
        <w:t>Сертификатом страны происхождения</w:t>
      </w:r>
    </w:p>
    <w:p>
      <w:pPr>
        <w:pStyle w:val="Normal"/>
        <w:shd w:val="clear" w:color="auto" w:fill="FFFFFF"/>
        <w:tabs>
          <w:tab w:val="clear" w:pos="720"/>
          <w:tab w:val="left" w:pos="567" w:leader="none"/>
        </w:tabs>
        <w:spacing w:before="0" w:after="120"/>
        <w:ind w:firstLine="567"/>
        <w:jc w:val="both"/>
        <w:rPr>
          <w:rFonts w:ascii="Symbol" w:hAnsi="Symbol" w:cs="Symbol"/>
          <w:sz w:val="24"/>
          <w:szCs w:val="24"/>
        </w:rPr>
      </w:pPr>
      <w:r>
        <w:rPr>
          <w:rFonts w:cs="Symbol" w:ascii="Symbol" w:hAnsi="Symbol"/>
          <w:sz w:val="24"/>
          <w:szCs w:val="24"/>
        </w:rPr>
        <w:t></w:t>
      </w:r>
      <w:r>
        <w:rPr>
          <w:sz w:val="24"/>
          <w:szCs w:val="24"/>
        </w:rPr>
        <w:t>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shd w:val="clear" w:color="auto" w:fill="FFFFFF"/>
        <w:spacing w:before="0" w:after="120"/>
        <w:ind w:firstLine="567"/>
        <w:jc w:val="both"/>
        <w:rPr>
          <w:sz w:val="24"/>
          <w:szCs w:val="24"/>
        </w:rPr>
      </w:pPr>
      <w:r>
        <w:rPr>
          <w:rFonts w:cs="Symbol" w:ascii="Symbol" w:hAnsi="Symbol"/>
          <w:sz w:val="24"/>
          <w:szCs w:val="24"/>
        </w:rPr>
        <w:t></w:t>
      </w:r>
      <w:r>
        <w:rPr>
          <w:sz w:val="24"/>
          <w:szCs w:val="24"/>
        </w:rPr>
        <w:t> </w:t>
      </w:r>
      <w:r>
        <w:rPr>
          <w:sz w:val="24"/>
          <w:szCs w:val="24"/>
        </w:rPr>
        <w:t>Товарную накладную по форме ТОРГ-12 или Универсальный передаточный документ (УПД).</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Приемка Продукции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15 (пятнадцати)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r>
        <w:rPr>
          <w:color w:val="000000"/>
          <w:sz w:val="24"/>
          <w:szCs w:val="24"/>
        </w:rPr>
        <w:t xml:space="preserve"> или Универсальный передаточный документ (УПД).</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На Продукцию устанавливается гарантийный срок, равный не менее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 </w:t>
      </w: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b/>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15"/>
        </w:numPr>
        <w:shd w:val="clear" w:color="auto" w:fill="FFFFFF"/>
        <w:tabs>
          <w:tab w:val="clear" w:pos="720"/>
          <w:tab w:val="left" w:pos="426" w:leader="none"/>
        </w:tabs>
        <w:spacing w:before="0" w:after="120"/>
        <w:ind w:hanging="0" w:left="0"/>
        <w:jc w:val="center"/>
        <w:rPr>
          <w:sz w:val="24"/>
          <w:szCs w:val="24"/>
        </w:rPr>
      </w:pPr>
      <w:r>
        <w:rPr>
          <w:b/>
          <w:sz w:val="24"/>
          <w:szCs w:val="24"/>
        </w:rPr>
        <w:t>Тара, упаковка, маркировка</w:t>
      </w:r>
    </w:p>
    <w:p>
      <w:pPr>
        <w:pStyle w:val="Normal"/>
        <w:widowControl w:val="false"/>
        <w:numPr>
          <w:ilvl w:val="0"/>
          <w:numId w:val="0"/>
        </w:numPr>
        <w:shd w:val="clear" w:color="auto" w:fill="FFFFFF"/>
        <w:tabs>
          <w:tab w:val="clear" w:pos="720"/>
          <w:tab w:val="left" w:pos="993" w:leader="none"/>
          <w:tab w:val="left" w:pos="1418" w:leader="none"/>
        </w:tabs>
        <w:suppressAutoHyphens w:val="true"/>
        <w:bidi w:val="0"/>
        <w:spacing w:before="0" w:after="120"/>
        <w:ind w:hanging="0" w:left="0" w:right="0"/>
        <w:jc w:val="both"/>
        <w:rPr>
          <w:sz w:val="24"/>
          <w:szCs w:val="24"/>
        </w:rPr>
      </w:pPr>
      <w:r>
        <w:rPr>
          <w:sz w:val="24"/>
          <w:szCs w:val="24"/>
        </w:rPr>
        <w:t xml:space="preserve">      </w:t>
      </w:r>
      <w:r>
        <w:rPr>
          <w:sz w:val="24"/>
          <w:szCs w:val="24"/>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0"/>
          <w:numId w:val="0"/>
        </w:numPr>
        <w:shd w:val="clear" w:color="auto" w:fill="FFFFFF"/>
        <w:tabs>
          <w:tab w:val="clear" w:pos="720"/>
          <w:tab w:val="left" w:pos="993" w:leader="none"/>
          <w:tab w:val="left" w:pos="1418" w:leader="none"/>
        </w:tabs>
        <w:spacing w:before="0" w:after="120"/>
        <w:ind w:hanging="0" w:left="0"/>
        <w:jc w:val="both"/>
        <w:rPr>
          <w:sz w:val="24"/>
          <w:szCs w:val="24"/>
        </w:rPr>
      </w:pPr>
      <w:r>
        <w:rPr>
          <w:sz w:val="24"/>
          <w:szCs w:val="24"/>
        </w:rPr>
        <w:t xml:space="preserve">        </w:t>
      </w:r>
      <w:r>
        <w:rPr>
          <w:sz w:val="24"/>
          <w:szCs w:val="24"/>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0"/>
          <w:numId w:val="0"/>
        </w:numPr>
        <w:shd w:val="clear" w:color="auto" w:fill="FFFFFF"/>
        <w:tabs>
          <w:tab w:val="clear" w:pos="720"/>
          <w:tab w:val="left" w:pos="993" w:leader="none"/>
          <w:tab w:val="left" w:pos="1418" w:leader="none"/>
        </w:tabs>
        <w:spacing w:before="0" w:after="120"/>
        <w:ind w:hanging="0" w:left="0"/>
        <w:jc w:val="both"/>
        <w:rPr>
          <w:sz w:val="24"/>
          <w:szCs w:val="24"/>
        </w:rPr>
      </w:pPr>
      <w:r>
        <w:rPr>
          <w:sz w:val="24"/>
          <w:szCs w:val="24"/>
        </w:rPr>
        <w:t xml:space="preserve">      </w:t>
      </w:r>
      <w:r>
        <w:rPr>
          <w:sz w:val="24"/>
          <w:szCs w:val="24"/>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вес, брутто/нетто каждого места;</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наименование Продукции;</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номера мест и их общее количество;</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весогабаритные характеристики мест;</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центр тяжести;</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условия хранения;</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0"/>
          <w:numId w:val="0"/>
        </w:numPr>
        <w:shd w:val="clear" w:color="auto" w:fill="FFFFFF"/>
        <w:tabs>
          <w:tab w:val="clear" w:pos="720"/>
          <w:tab w:val="left" w:pos="1276" w:leader="none"/>
          <w:tab w:val="left" w:pos="1418" w:leader="none"/>
        </w:tabs>
        <w:spacing w:before="0" w:after="120"/>
        <w:ind w:hanging="0" w:left="0"/>
        <w:jc w:val="both"/>
        <w:rPr>
          <w:b/>
          <w:sz w:val="24"/>
          <w:szCs w:val="24"/>
        </w:rPr>
      </w:pPr>
      <w:r>
        <w:rPr>
          <w:sz w:val="24"/>
          <w:szCs w:val="24"/>
        </w:rPr>
        <w:t xml:space="preserve">        </w:t>
      </w:r>
      <w:r>
        <w:rPr>
          <w:sz w:val="24"/>
          <w:szCs w:val="24"/>
        </w:rPr>
        <w:t>4.5 Стоимость тары и упаковки включена в Цену Договора; тара и упаковка возврату не подлежат.</w:t>
      </w:r>
    </w:p>
    <w:p>
      <w:pPr>
        <w:pStyle w:val="Normal"/>
        <w:widowControl w:val="false"/>
        <w:numPr>
          <w:ilvl w:val="0"/>
          <w:numId w:val="0"/>
        </w:numPr>
        <w:shd w:val="clear" w:color="auto" w:fill="FFFFFF"/>
        <w:tabs>
          <w:tab w:val="clear" w:pos="720"/>
          <w:tab w:val="left" w:pos="426" w:leader="none"/>
        </w:tabs>
        <w:spacing w:before="0" w:after="120"/>
        <w:ind w:hanging="0" w:left="0"/>
        <w:jc w:val="center"/>
        <w:rPr>
          <w:sz w:val="24"/>
          <w:szCs w:val="24"/>
        </w:rPr>
      </w:pPr>
      <w:r>
        <w:rPr>
          <w:b/>
          <w:sz w:val="24"/>
          <w:szCs w:val="24"/>
        </w:rPr>
        <w:t>5.  Сроки, порядок и условия поставки, переход права собственности</w:t>
      </w:r>
    </w:p>
    <w:p>
      <w:pPr>
        <w:pStyle w:val="ListParagraph"/>
        <w:widowControl w:val="false"/>
        <w:numPr>
          <w:ilvl w:val="0"/>
          <w:numId w:val="0"/>
        </w:numPr>
        <w:shd w:val="clear" w:color="auto" w:fill="FFFFFF"/>
        <w:tabs>
          <w:tab w:val="clear" w:pos="720"/>
          <w:tab w:val="left" w:pos="735" w:leader="none"/>
          <w:tab w:val="left" w:pos="993" w:leader="none"/>
        </w:tabs>
        <w:suppressAutoHyphens w:val="true"/>
        <w:bidi w:val="0"/>
        <w:spacing w:before="0" w:after="120"/>
        <w:ind w:hanging="0" w:left="0" w:right="0"/>
        <w:contextualSpacing/>
        <w:jc w:val="both"/>
        <w:rPr>
          <w:sz w:val="24"/>
          <w:szCs w:val="24"/>
        </w:rPr>
      </w:pPr>
      <w:r>
        <w:rPr>
          <w:sz w:val="24"/>
          <w:szCs w:val="24"/>
        </w:rPr>
        <w:t xml:space="preserve">        </w:t>
      </w:r>
      <w:r>
        <w:rPr>
          <w:sz w:val="24"/>
          <w:szCs w:val="24"/>
        </w:rPr>
        <w:t>5.1 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ListParagraph"/>
        <w:widowControl w:val="false"/>
        <w:numPr>
          <w:ilvl w:val="0"/>
          <w:numId w:val="0"/>
        </w:numPr>
        <w:shd w:val="clear" w:color="auto" w:fill="FFFFFF"/>
        <w:tabs>
          <w:tab w:val="clear" w:pos="720"/>
          <w:tab w:val="left" w:pos="993" w:leader="none"/>
        </w:tabs>
        <w:suppressAutoHyphens w:val="true"/>
        <w:bidi w:val="0"/>
        <w:spacing w:before="0" w:after="120"/>
        <w:ind w:hanging="0" w:left="57" w:right="0"/>
        <w:contextualSpacing/>
        <w:jc w:val="both"/>
        <w:rPr>
          <w:sz w:val="24"/>
          <w:szCs w:val="24"/>
        </w:rPr>
      </w:pPr>
      <w:r>
        <w:rPr>
          <w:sz w:val="24"/>
          <w:szCs w:val="24"/>
        </w:rPr>
        <w:t xml:space="preserve">           </w:t>
      </w:r>
      <w:r>
        <w:rPr>
          <w:sz w:val="24"/>
          <w:szCs w:val="24"/>
        </w:rPr>
        <w:t>5.2 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0"/>
          <w:numId w:val="0"/>
        </w:numPr>
        <w:shd w:val="clear" w:color="auto" w:fill="FFFFFF"/>
        <w:tabs>
          <w:tab w:val="clear" w:pos="720"/>
          <w:tab w:val="left" w:pos="993" w:leader="none"/>
        </w:tabs>
        <w:spacing w:before="0" w:after="120"/>
        <w:ind w:hanging="0" w:left="0"/>
        <w:jc w:val="both"/>
        <w:rPr>
          <w:sz w:val="24"/>
          <w:szCs w:val="24"/>
        </w:rPr>
      </w:pPr>
      <w:r>
        <w:rPr>
          <w:sz w:val="24"/>
          <w:szCs w:val="24"/>
        </w:rPr>
        <w:t xml:space="preserve">           </w:t>
      </w:r>
      <w:r>
        <w:rPr>
          <w:sz w:val="24"/>
          <w:szCs w:val="24"/>
        </w:rPr>
        <w:t xml:space="preserve">5.3 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0"/>
          <w:numId w:val="0"/>
        </w:numPr>
        <w:shd w:val="clear" w:color="auto" w:fill="FFFFFF"/>
        <w:tabs>
          <w:tab w:val="clear" w:pos="720"/>
          <w:tab w:val="left" w:pos="993" w:leader="none"/>
        </w:tabs>
        <w:spacing w:before="0" w:after="120"/>
        <w:ind w:hanging="0" w:left="0"/>
        <w:jc w:val="both"/>
        <w:rPr>
          <w:sz w:val="24"/>
          <w:szCs w:val="24"/>
        </w:rPr>
      </w:pPr>
      <w:r>
        <w:rPr>
          <w:sz w:val="24"/>
          <w:szCs w:val="24"/>
        </w:rPr>
        <w:t xml:space="preserve">      </w:t>
      </w:r>
      <w:r>
        <w:rPr>
          <w:sz w:val="24"/>
          <w:szCs w:val="24"/>
        </w:rPr>
        <w:t xml:space="preserve">5.4 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0"/>
          <w:numId w:val="0"/>
        </w:numPr>
        <w:shd w:val="clear" w:color="auto" w:fill="FFFFFF"/>
        <w:tabs>
          <w:tab w:val="clear" w:pos="720"/>
          <w:tab w:val="left" w:pos="993" w:leader="none"/>
        </w:tabs>
        <w:spacing w:before="0" w:after="120"/>
        <w:ind w:hanging="0" w:left="0"/>
        <w:jc w:val="both"/>
        <w:rPr>
          <w:b/>
          <w:sz w:val="24"/>
          <w:szCs w:val="24"/>
        </w:rPr>
      </w:pPr>
      <w:r>
        <w:rPr>
          <w:sz w:val="24"/>
          <w:szCs w:val="24"/>
        </w:rPr>
        <w:t xml:space="preserve">       </w:t>
      </w:r>
      <w:r>
        <w:rPr>
          <w:sz w:val="24"/>
          <w:szCs w:val="24"/>
        </w:rPr>
        <w:t xml:space="preserve">5.5.Поставщик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0"/>
        </w:numPr>
        <w:shd w:val="clear" w:color="auto" w:fill="FFFFFF"/>
        <w:tabs>
          <w:tab w:val="clear" w:pos="720"/>
          <w:tab w:val="left" w:pos="426" w:leader="none"/>
          <w:tab w:val="left" w:pos="993" w:leader="none"/>
        </w:tabs>
        <w:spacing w:before="0" w:after="120"/>
        <w:ind w:hanging="0" w:left="0"/>
        <w:jc w:val="center"/>
        <w:rPr>
          <w:sz w:val="24"/>
          <w:szCs w:val="24"/>
        </w:rPr>
      </w:pPr>
      <w:r>
        <w:rPr>
          <w:b/>
          <w:sz w:val="24"/>
          <w:szCs w:val="24"/>
        </w:rPr>
        <w:t>6. Ответственность по Договору</w:t>
      </w:r>
    </w:p>
    <w:p>
      <w:pPr>
        <w:pStyle w:val="Normal"/>
        <w:widowControl w:val="false"/>
        <w:numPr>
          <w:ilvl w:val="1"/>
          <w:numId w:val="17"/>
        </w:numPr>
        <w:shd w:val="clear" w:color="auto" w:fill="FFFFFF"/>
        <w:tabs>
          <w:tab w:val="clear" w:pos="720"/>
          <w:tab w:val="left" w:pos="1276" w:leader="none"/>
        </w:tabs>
        <w:spacing w:before="0" w:after="120"/>
        <w:ind w:firstLine="426" w:left="0"/>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120"/>
        <w:ind w:firstLine="426" w:left="0"/>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426" w:leader="none"/>
          <w:tab w:val="left" w:pos="993" w:leader="none"/>
        </w:tabs>
        <w:spacing w:before="0" w:after="120"/>
        <w:ind w:firstLine="426" w:left="0"/>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spacing w:before="0" w:after="120"/>
        <w:ind w:firstLine="426" w:left="0"/>
        <w:contextualSpacing/>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shd w:val="clear" w:color="auto" w:fill="FFFFFF"/>
        <w:tabs>
          <w:tab w:val="clear" w:pos="720"/>
          <w:tab w:val="left" w:pos="1276" w:leader="none"/>
        </w:tabs>
        <w:ind w:firstLine="567"/>
        <w:jc w:val="both"/>
        <w:rPr>
          <w:sz w:val="24"/>
          <w:szCs w:val="24"/>
        </w:rPr>
      </w:pPr>
      <w:r>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widowControl w:val="false"/>
        <w:shd w:val="clear" w:color="auto" w:fill="FFFFFF"/>
        <w:tabs>
          <w:tab w:val="clear" w:pos="720"/>
          <w:tab w:val="left" w:pos="1276" w:leader="none"/>
        </w:tabs>
        <w:ind w:firstLine="567"/>
        <w:jc w:val="both"/>
        <w:rPr>
          <w:sz w:val="24"/>
          <w:szCs w:val="24"/>
        </w:rPr>
      </w:pPr>
      <w:r>
        <w:rPr>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ind w:firstLine="567"/>
        <w:jc w:val="both"/>
        <w:rPr>
          <w:sz w:val="24"/>
          <w:szCs w:val="24"/>
        </w:rPr>
      </w:pPr>
      <w:r>
        <w:rPr>
          <w:sz w:val="24"/>
          <w:szCs w:val="24"/>
        </w:rPr>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6"/>
        </w:numPr>
        <w:tabs>
          <w:tab w:val="clear" w:pos="720"/>
          <w:tab w:val="left" w:pos="0" w:leader="none"/>
        </w:tabs>
        <w:spacing w:before="0" w:after="120"/>
        <w:ind w:firstLine="567" w:left="0"/>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список владельцев ценных бумаг;</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список аффилированных лиц на последнюю отчетную дату;</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ежеквартальный отчет на последнюю отчетную дату.</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решение (протокол) о приеме новых участников;</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устав.</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учредительный договор или положение;</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решение о создании.</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решение о создании.</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 xml:space="preserve">решение и договор о создании. </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6"/>
        </w:numPr>
        <w:spacing w:before="0" w:after="120"/>
        <w:ind w:hanging="283" w:left="709"/>
        <w:outlineLvl w:val="0"/>
        <w:rPr>
          <w:sz w:val="24"/>
          <w:szCs w:val="24"/>
        </w:rPr>
      </w:pPr>
      <w:r>
        <w:rPr>
          <w:sz w:val="24"/>
          <w:szCs w:val="24"/>
        </w:rPr>
        <w:t>выписка из торгового реестра страны инкорпорации;</w:t>
      </w:r>
    </w:p>
    <w:p>
      <w:pPr>
        <w:pStyle w:val="Normal"/>
        <w:numPr>
          <w:ilvl w:val="0"/>
          <w:numId w:val="16"/>
        </w:numPr>
        <w:spacing w:before="0" w:after="120"/>
        <w:ind w:hanging="283" w:left="709"/>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numPr>
          <w:ilvl w:val="1"/>
          <w:numId w:val="17"/>
        </w:numPr>
        <w:tabs>
          <w:tab w:val="clear" w:pos="720"/>
          <w:tab w:val="left" w:pos="-142" w:leader="none"/>
          <w:tab w:val="left" w:pos="0" w:leader="none"/>
          <w:tab w:val="left" w:pos="1276" w:leader="none"/>
        </w:tabs>
        <w:spacing w:before="0" w:after="120"/>
        <w:ind w:firstLine="567" w:left="0"/>
        <w:contextualSpacing w:val="false"/>
        <w:jc w:val="both"/>
        <w:outlineLvl w:val="0"/>
        <w:rPr>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0"/>
          <w:numId w:val="0"/>
        </w:numPr>
        <w:tabs>
          <w:tab w:val="clear" w:pos="720"/>
          <w:tab w:val="left" w:pos="0" w:leader="none"/>
          <w:tab w:val="left" w:pos="1276" w:leader="none"/>
        </w:tabs>
        <w:spacing w:before="0" w:after="120"/>
        <w:ind w:hanging="0" w:left="0"/>
        <w:contextualSpacing w:val="false"/>
        <w:jc w:val="both"/>
        <w:outlineLvl w:val="0"/>
        <w:rPr>
          <w:sz w:val="24"/>
          <w:szCs w:val="24"/>
        </w:rPr>
      </w:pPr>
      <w:r>
        <w:rPr>
          <w:sz w:val="24"/>
          <w:szCs w:val="24"/>
        </w:rPr>
        <w:t xml:space="preserve">         </w:t>
      </w:r>
      <w:r>
        <w:rPr>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 xml:space="preserve">Каналы связи Линия доверия Группы РусГидро: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Электронная почта: ld@rushydro.ru.</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1000" w:leader="none"/>
          <w:tab w:val="left" w:pos="1134" w:leader="none"/>
          <w:tab w:val="left" w:pos="2276" w:leader="none"/>
        </w:tabs>
        <w:spacing w:before="0" w:after="120"/>
        <w:jc w:val="both"/>
        <w:rPr>
          <w:sz w:val="24"/>
          <w:szCs w:val="24"/>
        </w:rPr>
      </w:pPr>
      <w:r>
        <w:rPr>
          <w:sz w:val="24"/>
          <w:szCs w:val="24"/>
        </w:rPr>
        <w:t xml:space="preserve">          </w:t>
      </w: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hanging="0" w:left="0"/>
        <w:jc w:val="both"/>
        <w:outlineLvl w:val="0"/>
        <w:rPr>
          <w:sz w:val="24"/>
          <w:szCs w:val="24"/>
        </w:rPr>
      </w:pPr>
      <w:r>
        <w:rPr>
          <w:sz w:val="24"/>
          <w:szCs w:val="24"/>
        </w:rPr>
      </w:r>
    </w:p>
    <w:p>
      <w:pPr>
        <w:pStyle w:val="Normal"/>
        <w:widowControl w:val="false"/>
        <w:numPr>
          <w:ilvl w:val="0"/>
          <w:numId w:val="17"/>
        </w:numPr>
        <w:shd w:val="clear" w:color="auto" w:fill="FFFFFF"/>
        <w:tabs>
          <w:tab w:val="clear" w:pos="720"/>
          <w:tab w:val="left" w:pos="426" w:leader="none"/>
          <w:tab w:val="left" w:pos="1276" w:leader="none"/>
        </w:tabs>
        <w:spacing w:before="0" w:after="120"/>
        <w:jc w:val="center"/>
        <w:rPr>
          <w:sz w:val="24"/>
          <w:szCs w:val="24"/>
        </w:rPr>
      </w:pPr>
      <w:r>
        <w:rPr>
          <w:b/>
          <w:bCs/>
          <w:sz w:val="24"/>
          <w:szCs w:val="24"/>
        </w:rPr>
        <w:t>Особые положения</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sz w:val="24"/>
            <w:szCs w:val="24"/>
          </w:rPr>
          <w:t>№ 18162/09</w:t>
        </w:r>
      </w:hyperlink>
      <w:r>
        <w:rPr>
          <w:sz w:val="24"/>
          <w:szCs w:val="24"/>
        </w:rPr>
        <w:t xml:space="preserve"> и от 25.05.2010 </w:t>
      </w:r>
      <w:hyperlink r:id="rId3">
        <w:r>
          <w:rPr>
            <w:rStyle w:val="Hyperlink"/>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120"/>
        <w:jc w:val="both"/>
        <w:rPr>
          <w:b/>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Форс</w:t>
      </w:r>
      <w:r>
        <w:rPr>
          <w:b/>
          <w:bCs/>
          <w:sz w:val="24"/>
          <w:szCs w:val="24"/>
        </w:rPr>
        <w:t>-мажор</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Конфиденциальность</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Cs/>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2"/>
        </w:numPr>
        <w:tabs>
          <w:tab w:val="clear" w:pos="720"/>
          <w:tab w:val="left" w:pos="851" w:leader="none"/>
        </w:tabs>
        <w:spacing w:before="0" w:after="120"/>
        <w:ind w:hanging="284" w:left="851"/>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2"/>
        </w:numPr>
        <w:tabs>
          <w:tab w:val="clear" w:pos="720"/>
          <w:tab w:val="left" w:pos="851" w:leader="none"/>
        </w:tabs>
        <w:spacing w:before="0" w:after="120"/>
        <w:ind w:hanging="284" w:left="851"/>
        <w:jc w:val="both"/>
        <w:rPr>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Cs/>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финансовую отчетность;</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учетные регистры бухгалтерского учета;</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бизнес-планы;</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2"/>
        </w:numPr>
        <w:tabs>
          <w:tab w:val="clear" w:pos="720"/>
          <w:tab w:val="left" w:pos="0" w:leader="none"/>
        </w:tabs>
        <w:spacing w:before="0" w:after="120"/>
        <w:ind w:hanging="0" w:left="0"/>
        <w:jc w:val="both"/>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Инсайдерская оговорка</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Поставщик также обязуется:</w:t>
      </w:r>
    </w:p>
    <w:p>
      <w:pPr>
        <w:pStyle w:val="ListParagraph"/>
        <w:numPr>
          <w:ilvl w:val="2"/>
          <w:numId w:val="17"/>
        </w:numPr>
        <w:shd w:val="clear" w:color="auto" w:fill="FFFFFF"/>
        <w:tabs>
          <w:tab w:val="clear" w:pos="720"/>
          <w:tab w:val="left" w:pos="1283" w:leader="none"/>
        </w:tabs>
        <w:spacing w:before="0" w:after="120"/>
        <w:ind w:firstLine="567" w:left="0"/>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tabs>
          <w:tab w:val="clear" w:pos="720"/>
          <w:tab w:val="left" w:pos="1283" w:leader="none"/>
        </w:tabs>
        <w:spacing w:before="0" w:after="120"/>
        <w:ind w:firstLine="567" w:left="0"/>
        <w:contextualSpacing w:val="false"/>
        <w:jc w:val="both"/>
        <w:rPr>
          <w:b/>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Разрешение споров</w:t>
      </w:r>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ind w:firstLine="567" w:left="0"/>
        <w:jc w:val="both"/>
        <w:rPr>
          <w:b/>
          <w:bCs/>
          <w:sz w:val="24"/>
          <w:szCs w:val="24"/>
        </w:rPr>
      </w:pPr>
      <w:r>
        <w:rPr>
          <w:sz w:val="24"/>
          <w:szCs w:val="24"/>
        </w:rPr>
        <w:t xml:space="preserve"> </w:t>
      </w:r>
      <w:r>
        <w:rPr>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bCs/>
          <w:sz w:val="24"/>
          <w:szCs w:val="24"/>
        </w:rPr>
        <w:t>Прекращение (расторжение) Договора</w:t>
      </w:r>
    </w:p>
    <w:p>
      <w:pPr>
        <w:pStyle w:val="Normal"/>
        <w:widowControl w:val="false"/>
        <w:numPr>
          <w:ilvl w:val="1"/>
          <w:numId w:val="17"/>
        </w:numPr>
        <w:shd w:val="clear" w:color="auto" w:fill="FFFFFF"/>
        <w:tabs>
          <w:tab w:val="left" w:pos="720" w:leader="none"/>
        </w:tabs>
        <w:spacing w:before="0" w:after="120"/>
        <w:ind w:firstLine="567" w:left="0"/>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tabs>
          <w:tab w:val="left" w:pos="720" w:leader="none"/>
          <w:tab w:val="left" w:pos="1134" w:leader="none"/>
        </w:tabs>
        <w:spacing w:before="0" w:after="120"/>
        <w:ind w:firstLine="567" w:left="0"/>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tabs>
          <w:tab w:val="left" w:pos="720" w:leader="none"/>
          <w:tab w:val="left" w:pos="1134" w:leader="none"/>
        </w:tabs>
        <w:spacing w:before="0" w:after="120"/>
        <w:ind w:firstLine="567" w:left="0"/>
        <w:jc w:val="both"/>
        <w:rPr>
          <w:sz w:val="24"/>
          <w:szCs w:val="24"/>
        </w:rPr>
      </w:pPr>
      <w:r>
        <w:rPr>
          <w:sz w:val="24"/>
          <w:szCs w:val="24"/>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spacing w:before="0" w:after="120"/>
        <w:ind w:firstLine="567" w:left="0"/>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spacing w:before="0" w:after="120"/>
        <w:ind w:firstLine="567" w:left="0"/>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ind w:firstLine="567" w:left="0"/>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ind w:firstLine="567" w:left="0"/>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ind w:firstLine="567" w:left="0"/>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ind w:firstLine="567" w:left="0"/>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ind w:firstLine="567" w:left="0"/>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7"/>
        </w:numPr>
        <w:shd w:val="clear" w:color="auto" w:fill="FFFFFF"/>
        <w:tabs>
          <w:tab w:val="left" w:pos="720" w:leader="none"/>
          <w:tab w:val="left" w:pos="1134" w:leader="none"/>
        </w:tabs>
        <w:ind w:firstLine="567" w:left="0"/>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7"/>
        </w:numPr>
        <w:shd w:val="clear" w:color="auto" w:fill="FFFFFF"/>
        <w:tabs>
          <w:tab w:val="left" w:pos="720" w:leader="none"/>
          <w:tab w:val="left" w:pos="1134" w:leader="none"/>
        </w:tabs>
        <w:ind w:firstLine="567" w:left="0"/>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7"/>
        </w:numPr>
        <w:shd w:val="clear" w:color="auto" w:fill="FFFFFF"/>
        <w:tabs>
          <w:tab w:val="clear" w:pos="720"/>
          <w:tab w:val="left" w:pos="1134" w:leader="none"/>
        </w:tabs>
        <w:spacing w:before="0" w:after="0"/>
        <w:ind w:firstLine="567" w:left="0"/>
        <w:contextualSpacing w:val="false"/>
        <w:jc w:val="both"/>
        <w:rPr>
          <w:b/>
          <w:bCs/>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7"/>
        </w:numPr>
        <w:shd w:val="clear" w:color="auto" w:fill="FFFFFF"/>
        <w:tabs>
          <w:tab w:val="clear" w:pos="720"/>
          <w:tab w:val="left" w:pos="426" w:leader="none"/>
          <w:tab w:val="left" w:pos="1134" w:leader="none"/>
        </w:tabs>
        <w:spacing w:before="0" w:after="120"/>
        <w:ind w:hanging="0" w:left="0"/>
        <w:jc w:val="center"/>
        <w:rPr>
          <w:bCs/>
          <w:sz w:val="24"/>
          <w:szCs w:val="24"/>
        </w:rPr>
      </w:pPr>
      <w:r>
        <w:rPr>
          <w:b/>
          <w:bCs/>
          <w:sz w:val="24"/>
          <w:szCs w:val="24"/>
        </w:rPr>
        <w:t>Заверения</w:t>
      </w:r>
      <w:r>
        <w:rPr>
          <w:b/>
          <w:sz w:val="24"/>
          <w:szCs w:val="24"/>
        </w:rPr>
        <w:t xml:space="preserve"> Сторон</w:t>
      </w:r>
    </w:p>
    <w:p>
      <w:pPr>
        <w:pStyle w:val="ListParagraph"/>
        <w:numPr>
          <w:ilvl w:val="1"/>
          <w:numId w:val="17"/>
        </w:numPr>
        <w:shd w:val="clear" w:color="auto" w:fill="FFFFFF"/>
        <w:tabs>
          <w:tab w:val="clear" w:pos="720"/>
          <w:tab w:val="left" w:pos="1134" w:leader="none"/>
        </w:tabs>
        <w:spacing w:before="0" w:after="120"/>
        <w:ind w:firstLine="567" w:left="0"/>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7"/>
        </w:numPr>
        <w:shd w:val="clear" w:color="auto" w:fill="FFFFFF"/>
        <w:spacing w:before="0" w:after="120"/>
        <w:ind w:firstLine="567" w:left="0"/>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7"/>
        </w:numPr>
        <w:shd w:val="clear" w:color="auto" w:fill="FFFFFF"/>
        <w:spacing w:before="0" w:after="0"/>
        <w:ind w:firstLine="567" w:left="0"/>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7"/>
        </w:numPr>
        <w:shd w:val="clear" w:color="auto" w:fill="FFFFFF"/>
        <w:spacing w:before="0" w:after="0"/>
        <w:ind w:firstLine="567" w:left="0"/>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ind w:firstLine="567"/>
        <w:jc w:val="both"/>
        <w:rPr>
          <w:sz w:val="24"/>
          <w:szCs w:val="24"/>
        </w:rPr>
      </w:pPr>
      <w:r>
        <w:rPr>
          <w:sz w:val="24"/>
          <w:szCs w:val="24"/>
        </w:rPr>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Заключительные положения</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7"/>
        </w:numPr>
        <w:shd w:val="clear" w:color="auto" w:fill="FFFFFF"/>
        <w:tabs>
          <w:tab w:val="left" w:pos="720" w:leader="none"/>
          <w:tab w:val="left" w:pos="1276" w:leader="none"/>
        </w:tabs>
        <w:ind w:firstLine="567" w:left="0"/>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17"/>
        </w:numPr>
        <w:shd w:val="clear" w:color="auto" w:fill="FFFFFF"/>
        <w:tabs>
          <w:tab w:val="clear" w:pos="720"/>
          <w:tab w:val="left" w:pos="1276" w:leader="none"/>
        </w:tabs>
        <w:spacing w:before="0" w:after="0"/>
        <w:ind w:firstLine="567" w:left="0"/>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7"/>
        </w:numPr>
        <w:shd w:val="clear" w:color="auto" w:fill="FFFFFF"/>
        <w:tabs>
          <w:tab w:val="clear" w:pos="720"/>
          <w:tab w:val="left" w:pos="1276" w:leader="none"/>
        </w:tabs>
        <w:spacing w:before="0" w:after="0"/>
        <w:ind w:firstLine="567" w:left="0"/>
        <w:contextualSpacing w:val="false"/>
        <w:jc w:val="both"/>
        <w:rPr>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7"/>
        </w:numPr>
        <w:shd w:val="clear" w:color="auto" w:fill="FFFFFF"/>
        <w:tabs>
          <w:tab w:val="left" w:pos="720" w:leader="none"/>
          <w:tab w:val="left" w:pos="1276" w:leader="none"/>
        </w:tabs>
        <w:ind w:firstLine="567" w:left="0"/>
        <w:jc w:val="both"/>
        <w:rPr>
          <w:b/>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Приложения к Договору</w:t>
      </w:r>
    </w:p>
    <w:p>
      <w:pPr>
        <w:pStyle w:val="Heading3"/>
        <w:keepNext w:val="false"/>
        <w:numPr>
          <w:ilvl w:val="2"/>
          <w:numId w:val="1"/>
        </w:numPr>
        <w:spacing w:before="0" w:after="120"/>
        <w:ind w:hanging="0" w:left="567"/>
        <w:jc w:val="both"/>
        <w:textAlignment w:val="baseline"/>
        <w:rPr>
          <w:sz w:val="24"/>
          <w:szCs w:val="24"/>
        </w:rPr>
      </w:pPr>
      <w:r>
        <w:rPr>
          <w:b w:val="false"/>
          <w:sz w:val="24"/>
          <w:szCs w:val="24"/>
        </w:rPr>
        <w:t>- Приложение № 1 – Спецификация.</w:t>
      </w:r>
    </w:p>
    <w:p>
      <w:pPr>
        <w:pStyle w:val="Normal"/>
        <w:spacing w:before="0" w:after="120"/>
        <w:ind w:hanging="0" w:left="567"/>
        <w:jc w:val="both"/>
        <w:textAlignment w:val="baseline"/>
        <w:rPr>
          <w:sz w:val="24"/>
          <w:szCs w:val="24"/>
        </w:rPr>
      </w:pPr>
      <w:r>
        <w:rPr>
          <w:b w:val="false"/>
          <w:sz w:val="24"/>
          <w:szCs w:val="24"/>
        </w:rPr>
        <w:t>-Приложение № 2- Технические требования на поставку продукции</w:t>
      </w:r>
    </w:p>
    <w:p>
      <w:pPr>
        <w:pStyle w:val="Normal"/>
        <w:spacing w:before="0" w:after="120"/>
        <w:ind w:hanging="567" w:left="567"/>
        <w:rPr>
          <w:b/>
          <w:sz w:val="24"/>
          <w:szCs w:val="24"/>
        </w:rPr>
      </w:pPr>
      <w:bookmarkStart w:id="3" w:name="sub_1"/>
      <w:r>
        <w:rPr>
          <w:sz w:val="24"/>
          <w:szCs w:val="24"/>
        </w:rPr>
        <w:tab/>
      </w:r>
      <w:bookmarkEnd w:id="3"/>
    </w:p>
    <w:p>
      <w:pPr>
        <w:pStyle w:val="Normal"/>
        <w:widowControl w:val="false"/>
        <w:numPr>
          <w:ilvl w:val="0"/>
          <w:numId w:val="17"/>
        </w:numPr>
        <w:shd w:val="clear" w:color="auto" w:fill="FFFFFF"/>
        <w:tabs>
          <w:tab w:val="clear" w:pos="720"/>
          <w:tab w:val="left" w:pos="426" w:leader="none"/>
        </w:tabs>
        <w:spacing w:before="0" w:after="120"/>
        <w:ind w:hanging="0" w:left="0"/>
        <w:jc w:val="center"/>
        <w:rPr>
          <w:b/>
          <w:sz w:val="24"/>
          <w:szCs w:val="24"/>
          <w:u w:val="single"/>
        </w:rPr>
      </w:pPr>
      <w:r>
        <w:rPr>
          <w:b/>
          <w:sz w:val="24"/>
          <w:szCs w:val="24"/>
        </w:rPr>
        <w:t xml:space="preserve">Адреса, реквизиты и подписи Сторон </w:t>
      </w:r>
    </w:p>
    <w:tbl>
      <w:tblPr>
        <w:tblW w:w="984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95"/>
        <w:gridCol w:w="4852"/>
      </w:tblGrid>
      <w:tr>
        <w:trPr>
          <w:trHeight w:val="276" w:hRule="atLeast"/>
        </w:trPr>
        <w:tc>
          <w:tcPr>
            <w:tcW w:w="4995" w:type="dxa"/>
            <w:tcBorders/>
            <w:shd w:color="auto" w:fill="auto" w:val="clear"/>
          </w:tcPr>
          <w:p>
            <w:pPr>
              <w:pStyle w:val="Normal"/>
              <w:widowControl w:val="false"/>
              <w:rPr/>
            </w:pPr>
            <w:r>
              <w:rPr>
                <w:b/>
                <w:sz w:val="24"/>
                <w:szCs w:val="24"/>
                <w:u w:val="single"/>
              </w:rPr>
              <w:t>Покупатель:</w:t>
            </w:r>
          </w:p>
        </w:tc>
        <w:tc>
          <w:tcPr>
            <w:tcW w:w="4852" w:type="dxa"/>
            <w:tcBorders/>
            <w:shd w:color="auto" w:fill="auto" w:val="clear"/>
          </w:tcPr>
          <w:p>
            <w:pPr>
              <w:pStyle w:val="Normal"/>
              <w:widowControl w:val="false"/>
              <w:rPr/>
            </w:pPr>
            <w:r>
              <w:rPr>
                <w:b/>
                <w:sz w:val="24"/>
                <w:szCs w:val="24"/>
                <w:u w:val="single"/>
              </w:rPr>
              <w:t>Поставщик:</w:t>
            </w:r>
          </w:p>
        </w:tc>
      </w:tr>
      <w:tr>
        <w:trPr>
          <w:trHeight w:val="5659" w:hRule="atLeast"/>
        </w:trPr>
        <w:tc>
          <w:tcPr>
            <w:tcW w:w="4995" w:type="dxa"/>
            <w:tcBorders/>
            <w:shd w:color="auto" w:fill="auto" w:val="clear"/>
          </w:tcPr>
          <w:p>
            <w:pPr>
              <w:pStyle w:val="Normal"/>
              <w:widowControl w:val="false"/>
              <w:snapToGrid w:val="false"/>
              <w:rPr>
                <w:b/>
                <w:sz w:val="22"/>
                <w:szCs w:val="22"/>
                <w:u w:val="single"/>
              </w:rPr>
            </w:pPr>
            <w:r>
              <w:rPr>
                <w:b/>
                <w:sz w:val="22"/>
                <w:szCs w:val="22"/>
                <w:u w:val="single"/>
              </w:rPr>
            </w:r>
          </w:p>
          <w:p>
            <w:pPr>
              <w:pStyle w:val="Normal"/>
              <w:widowControl w:val="false"/>
              <w:shd w:val="clear" w:color="auto" w:fill="FFFFFF"/>
              <w:tabs>
                <w:tab w:val="clear" w:pos="720"/>
                <w:tab w:val="left" w:pos="1418" w:leader="none"/>
              </w:tabs>
              <w:spacing w:before="0" w:after="0"/>
              <w:ind w:hanging="0" w:right="176"/>
              <w:contextualSpacing/>
              <w:rPr>
                <w:b/>
                <w:sz w:val="24"/>
                <w:szCs w:val="24"/>
              </w:rPr>
            </w:pPr>
            <w:r>
              <w:rPr>
                <w:b/>
                <w:sz w:val="24"/>
                <w:szCs w:val="24"/>
              </w:rPr>
              <w:t>Акционерное общество</w:t>
            </w:r>
          </w:p>
          <w:p>
            <w:pPr>
              <w:pStyle w:val="Normal"/>
              <w:widowControl w:val="false"/>
              <w:shd w:val="clear" w:color="auto" w:fill="FFFFFF"/>
              <w:tabs>
                <w:tab w:val="clear" w:pos="720"/>
                <w:tab w:val="left" w:pos="1418" w:leader="none"/>
              </w:tabs>
              <w:spacing w:before="0" w:after="0"/>
              <w:ind w:hanging="0" w:right="176"/>
              <w:contextualSpacing/>
              <w:rPr>
                <w:b/>
                <w:sz w:val="24"/>
                <w:szCs w:val="24"/>
              </w:rPr>
            </w:pPr>
            <w:r>
              <w:rPr>
                <w:b/>
                <w:sz w:val="24"/>
                <w:szCs w:val="24"/>
              </w:rPr>
              <w:t>«Гидроремонт-ВКК» (АО «Гидроремонт-ВКК»)</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Юридический адрес: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Почтовый адрес: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Фактический адрес: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ОГРН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ИНН/КПП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Р/с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Банк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БИК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Тел./факс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r>
          </w:p>
          <w:p>
            <w:pPr>
              <w:pStyle w:val="Normal"/>
              <w:widowControl w:val="false"/>
              <w:shd w:val="clear" w:color="auto" w:fill="FFFFFF"/>
              <w:tabs>
                <w:tab w:val="clear" w:pos="720"/>
                <w:tab w:val="left" w:pos="1418" w:leader="none"/>
              </w:tabs>
              <w:spacing w:before="0" w:after="0"/>
              <w:ind w:hanging="0" w:right="176"/>
              <w:contextualSpacing/>
              <w:rPr>
                <w:b/>
                <w:sz w:val="24"/>
                <w:szCs w:val="24"/>
              </w:rPr>
            </w:pPr>
            <w:r>
              <w:rPr>
                <w:b/>
                <w:sz w:val="24"/>
                <w:szCs w:val="24"/>
              </w:rPr>
            </w:r>
          </w:p>
          <w:p>
            <w:pPr>
              <w:pStyle w:val="Normal"/>
              <w:widowControl w:val="false"/>
              <w:shd w:val="clear" w:color="auto" w:fill="FFFFFF"/>
              <w:tabs>
                <w:tab w:val="clear" w:pos="720"/>
                <w:tab w:val="left" w:pos="1418" w:leader="none"/>
              </w:tabs>
              <w:spacing w:before="0" w:after="0"/>
              <w:ind w:hanging="0" w:right="176"/>
              <w:contextualSpacing/>
              <w:rPr>
                <w:b/>
                <w:sz w:val="24"/>
                <w:szCs w:val="24"/>
              </w:rPr>
            </w:pPr>
            <w:r>
              <w:rPr>
                <w:b/>
                <w:sz w:val="24"/>
                <w:szCs w:val="24"/>
              </w:rPr>
            </w:r>
          </w:p>
        </w:tc>
        <w:tc>
          <w:tcPr>
            <w:tcW w:w="4852" w:type="dxa"/>
            <w:tcBorders/>
            <w:shd w:color="auto" w:fill="auto" w:val="clear"/>
          </w:tcPr>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p>
            <w:pPr>
              <w:pStyle w:val="Normal"/>
              <w:widowControl w:val="false"/>
              <w:jc w:val="both"/>
              <w:rPr>
                <w:b/>
                <w:bCs/>
                <w:sz w:val="24"/>
                <w:szCs w:val="24"/>
              </w:rPr>
            </w:pPr>
            <w:r>
              <w:rPr>
                <w:b/>
                <w:bCs/>
                <w:sz w:val="24"/>
                <w:szCs w:val="24"/>
              </w:rPr>
            </w:r>
          </w:p>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bookmarkStart w:id="4" w:name="_GoBack"/>
            <w:bookmarkStart w:id="5" w:name="_GoBack"/>
            <w:bookmarkEnd w:id="5"/>
          </w:p>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tc>
      </w:tr>
      <w:tr>
        <w:trPr>
          <w:trHeight w:val="1983" w:hRule="atLeast"/>
        </w:trPr>
        <w:tc>
          <w:tcPr>
            <w:tcW w:w="4995" w:type="dxa"/>
            <w:tcBorders/>
            <w:shd w:color="auto" w:fill="auto" w:val="clear"/>
          </w:tcPr>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t>__________</w:t>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t>м.п.</w:t>
            </w:r>
          </w:p>
        </w:tc>
        <w:tc>
          <w:tcPr>
            <w:tcW w:w="4852" w:type="dxa"/>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t>_______________</w:t>
            </w:r>
          </w:p>
          <w:p>
            <w:pPr>
              <w:pStyle w:val="Normal"/>
              <w:widowControl w:val="false"/>
              <w:rPr>
                <w:sz w:val="24"/>
                <w:szCs w:val="24"/>
              </w:rPr>
            </w:pPr>
            <w:r>
              <w:rPr>
                <w:sz w:val="24"/>
                <w:szCs w:val="24"/>
              </w:rPr>
              <w:t>м.п.</w:t>
            </w:r>
          </w:p>
        </w:tc>
      </w:tr>
    </w:tbl>
    <w:p>
      <w:pPr>
        <w:sectPr>
          <w:footerReference w:type="default" r:id="rId5"/>
          <w:footnotePr>
            <w:numFmt w:val="decimal"/>
          </w:footnotePr>
          <w:type w:val="nextPage"/>
          <w:pgSz w:w="11906" w:h="16838"/>
          <w:pgMar w:left="1134" w:right="849" w:gutter="0" w:header="0" w:top="1134" w:footer="720" w:bottom="1134"/>
          <w:pgNumType w:fmt="decimal"/>
          <w:formProt w:val="false"/>
          <w:textDirection w:val="lrTb"/>
          <w:docGrid w:type="default" w:linePitch="360" w:charSpace="16384"/>
        </w:sectPr>
      </w:pPr>
    </w:p>
    <w:p>
      <w:pPr>
        <w:pStyle w:val="BodyText"/>
        <w:numPr>
          <w:ilvl w:val="0"/>
          <w:numId w:val="0"/>
        </w:numPr>
        <w:ind w:hanging="0" w:left="0"/>
        <w:outlineLvl w:val="0"/>
        <w:rPr>
          <w:bCs/>
          <w:sz w:val="24"/>
          <w:szCs w:val="24"/>
        </w:rPr>
      </w:pPr>
      <w:r>
        <w:rPr>
          <w:b/>
          <w:bCs/>
          <w:sz w:val="24"/>
          <w:szCs w:val="24"/>
        </w:rPr>
        <w:t xml:space="preserve">                                                                                                                                      </w:t>
      </w:r>
      <w:r>
        <w:rPr>
          <w:b/>
          <w:bCs/>
          <w:sz w:val="24"/>
          <w:szCs w:val="24"/>
        </w:rPr>
        <w:t>Приложение № 1</w:t>
      </w:r>
    </w:p>
    <w:p>
      <w:pPr>
        <w:pStyle w:val="BodyText"/>
        <w:ind w:firstLine="567"/>
        <w:jc w:val="right"/>
        <w:rPr>
          <w:bCs/>
          <w:sz w:val="24"/>
          <w:szCs w:val="24"/>
        </w:rPr>
      </w:pPr>
      <w:r>
        <w:rPr>
          <w:bCs/>
          <w:sz w:val="24"/>
          <w:szCs w:val="24"/>
        </w:rPr>
        <w:t xml:space="preserve">к договору поставки </w:t>
      </w:r>
    </w:p>
    <w:p>
      <w:pPr>
        <w:pStyle w:val="BodyText"/>
        <w:ind w:firstLine="567"/>
        <w:jc w:val="right"/>
        <w:rPr>
          <w:sz w:val="24"/>
          <w:szCs w:val="24"/>
        </w:rPr>
      </w:pPr>
      <w:r>
        <w:rPr>
          <w:bCs/>
          <w:sz w:val="24"/>
          <w:szCs w:val="24"/>
        </w:rPr>
        <w:t xml:space="preserve">№ </w:t>
      </w:r>
    </w:p>
    <w:p>
      <w:pPr>
        <w:pStyle w:val="BodyText"/>
        <w:ind w:firstLine="567"/>
        <w:jc w:val="right"/>
        <w:rPr>
          <w:b/>
          <w:bCs/>
          <w:sz w:val="24"/>
          <w:szCs w:val="24"/>
        </w:rPr>
      </w:pPr>
      <w:r>
        <w:rPr>
          <w:sz w:val="24"/>
          <w:szCs w:val="24"/>
        </w:rPr>
        <w:t xml:space="preserve"> </w:t>
      </w:r>
      <w:r>
        <w:rPr>
          <w:bCs/>
          <w:sz w:val="24"/>
          <w:szCs w:val="24"/>
        </w:rPr>
        <w:t xml:space="preserve">от </w:t>
      </w:r>
      <w:r>
        <w:rPr>
          <w:b w:val="false"/>
          <w:bCs w:val="false"/>
          <w:sz w:val="24"/>
          <w:szCs w:val="24"/>
        </w:rPr>
        <w:t xml:space="preserve"> «» 2026 г.</w:t>
      </w:r>
    </w:p>
    <w:p>
      <w:pPr>
        <w:pStyle w:val="Normal"/>
        <w:numPr>
          <w:ilvl w:val="0"/>
          <w:numId w:val="0"/>
        </w:numPr>
        <w:spacing w:before="0" w:after="120"/>
        <w:ind w:firstLine="567" w:left="0"/>
        <w:jc w:val="center"/>
        <w:outlineLvl w:val="0"/>
        <w:rPr>
          <w:b/>
          <w:bCs/>
          <w:sz w:val="24"/>
          <w:szCs w:val="24"/>
        </w:rPr>
      </w:pPr>
      <w:r>
        <w:rPr>
          <w:b/>
          <w:bCs/>
          <w:sz w:val="24"/>
          <w:szCs w:val="24"/>
        </w:rPr>
      </w:r>
    </w:p>
    <w:p>
      <w:pPr>
        <w:pStyle w:val="Normal"/>
        <w:numPr>
          <w:ilvl w:val="0"/>
          <w:numId w:val="0"/>
        </w:numPr>
        <w:spacing w:before="0" w:after="120"/>
        <w:ind w:firstLine="567" w:left="0"/>
        <w:jc w:val="center"/>
        <w:outlineLvl w:val="0"/>
        <w:rPr>
          <w:b/>
          <w:sz w:val="24"/>
          <w:szCs w:val="24"/>
        </w:rPr>
      </w:pPr>
      <w:r>
        <w:rPr>
          <w:b/>
          <w:sz w:val="24"/>
          <w:szCs w:val="24"/>
        </w:rPr>
        <w:t>Спецификация № 1</w:t>
      </w:r>
    </w:p>
    <w:p>
      <w:pPr>
        <w:pStyle w:val="Normal"/>
        <w:numPr>
          <w:ilvl w:val="0"/>
          <w:numId w:val="0"/>
        </w:numPr>
        <w:spacing w:before="0" w:after="120"/>
        <w:ind w:hanging="0" w:left="0"/>
        <w:outlineLvl w:val="0"/>
        <w:rPr>
          <w:b/>
          <w:sz w:val="24"/>
          <w:szCs w:val="24"/>
        </w:rPr>
      </w:pPr>
      <w:r>
        <w:rPr>
          <w:b/>
          <w:sz w:val="24"/>
          <w:szCs w:val="24"/>
        </w:rPr>
      </w:r>
    </w:p>
    <w:tbl>
      <w:tblPr>
        <w:tblW w:w="10330" w:type="dxa"/>
        <w:jc w:val="left"/>
        <w:tblInd w:w="-5" w:type="dxa"/>
        <w:tblLayout w:type="fixed"/>
        <w:tblCellMar>
          <w:top w:w="0" w:type="dxa"/>
          <w:left w:w="30" w:type="dxa"/>
          <w:bottom w:w="0" w:type="dxa"/>
          <w:right w:w="30" w:type="dxa"/>
        </w:tblCellMar>
        <w:tblLook w:val="0000" w:noVBand="0" w:noHBand="0" w:lastColumn="0" w:firstColumn="0" w:lastRow="0" w:firstRow="0"/>
      </w:tblPr>
      <w:tblGrid>
        <w:gridCol w:w="582"/>
        <w:gridCol w:w="3090"/>
        <w:gridCol w:w="1280"/>
        <w:gridCol w:w="940"/>
        <w:gridCol w:w="1039"/>
        <w:gridCol w:w="1517"/>
        <w:gridCol w:w="1881"/>
      </w:tblGrid>
      <w:tr>
        <w:trPr>
          <w:trHeight w:val="930" w:hRule="atLeast"/>
        </w:trPr>
        <w:tc>
          <w:tcPr>
            <w:tcW w:w="5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 xml:space="preserve">№ </w:t>
            </w:r>
            <w:r>
              <w:rPr>
                <w:b/>
                <w:sz w:val="24"/>
                <w:szCs w:val="24"/>
              </w:rPr>
              <w:t>п/п</w:t>
            </w:r>
          </w:p>
        </w:tc>
        <w:tc>
          <w:tcPr>
            <w:tcW w:w="30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Наименование продукции</w:t>
            </w:r>
          </w:p>
        </w:tc>
        <w:tc>
          <w:tcPr>
            <w:tcW w:w="1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Страна происхождения продукции</w:t>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Единица измерения</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Количество</w:t>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Цена одной единицы продукции, руб. без НДС</w:t>
            </w:r>
          </w:p>
        </w:tc>
        <w:tc>
          <w:tcPr>
            <w:tcW w:w="1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Итоговая стоимость позиции (руб. без НДС)</w:t>
            </w:r>
          </w:p>
        </w:tc>
      </w:tr>
      <w:tr>
        <w:trPr>
          <w:trHeight w:val="300" w:hRule="atLeast"/>
        </w:trPr>
        <w:tc>
          <w:tcPr>
            <w:tcW w:w="5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1</w:t>
            </w:r>
          </w:p>
        </w:tc>
        <w:tc>
          <w:tcPr>
            <w:tcW w:w="30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2</w:t>
            </w:r>
          </w:p>
        </w:tc>
        <w:tc>
          <w:tcPr>
            <w:tcW w:w="1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3</w:t>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4</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5</w:t>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6</w:t>
            </w:r>
          </w:p>
        </w:tc>
        <w:tc>
          <w:tcPr>
            <w:tcW w:w="1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7</w:t>
            </w:r>
          </w:p>
        </w:tc>
      </w:tr>
      <w:tr>
        <w:trPr>
          <w:trHeight w:val="515" w:hRule="atLeast"/>
        </w:trPr>
        <w:tc>
          <w:tcPr>
            <w:tcW w:w="5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1</w:t>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4"/>
                <w:szCs w:val="24"/>
              </w:rPr>
            </w:pPr>
            <w:r>
              <w:rPr>
                <w:sz w:val="24"/>
                <w:szCs w:val="24"/>
              </w:rPr>
            </w:r>
          </w:p>
        </w:tc>
        <w:tc>
          <w:tcPr>
            <w:tcW w:w="1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r>
      <w:tr>
        <w:trPr>
          <w:trHeight w:val="257" w:hRule="atLeast"/>
        </w:trPr>
        <w:tc>
          <w:tcPr>
            <w:tcW w:w="844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ИТОГО без НДС, руб.</w:t>
            </w:r>
          </w:p>
        </w:tc>
        <w:tc>
          <w:tcPr>
            <w:tcW w:w="1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
                <w:sz w:val="24"/>
                <w:szCs w:val="24"/>
              </w:rPr>
            </w:pPr>
            <w:r>
              <w:rPr>
                <w:b/>
                <w:sz w:val="24"/>
                <w:szCs w:val="24"/>
              </w:rPr>
            </w:r>
          </w:p>
        </w:tc>
      </w:tr>
      <w:tr>
        <w:trPr>
          <w:trHeight w:val="319" w:hRule="atLeast"/>
        </w:trPr>
        <w:tc>
          <w:tcPr>
            <w:tcW w:w="844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НДС (22%), руб.</w:t>
            </w:r>
          </w:p>
        </w:tc>
        <w:tc>
          <w:tcPr>
            <w:tcW w:w="1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sz w:val="24"/>
                <w:szCs w:val="24"/>
                <w:highlight w:val="yellow"/>
              </w:rPr>
            </w:pPr>
            <w:r>
              <w:rPr>
                <w:b/>
                <w:sz w:val="24"/>
                <w:szCs w:val="24"/>
                <w:highlight w:val="yellow"/>
              </w:rPr>
            </w:r>
          </w:p>
        </w:tc>
      </w:tr>
      <w:tr>
        <w:trPr>
          <w:trHeight w:val="254" w:hRule="atLeast"/>
        </w:trPr>
        <w:tc>
          <w:tcPr>
            <w:tcW w:w="844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ИТОГО с учетом НДС, руб.</w:t>
            </w:r>
          </w:p>
        </w:tc>
        <w:tc>
          <w:tcPr>
            <w:tcW w:w="1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sz w:val="24"/>
                <w:szCs w:val="24"/>
                <w:highlight w:val="yellow"/>
              </w:rPr>
            </w:pPr>
            <w:r>
              <w:rPr>
                <w:b/>
                <w:sz w:val="24"/>
                <w:szCs w:val="24"/>
                <w:highlight w:val="yellow"/>
              </w:rPr>
            </w:r>
          </w:p>
        </w:tc>
      </w:tr>
    </w:tbl>
    <w:p>
      <w:pPr>
        <w:pStyle w:val="Normal"/>
        <w:widowControl w:val="false"/>
        <w:spacing w:before="0" w:after="120"/>
        <w:ind w:hanging="0" w:left="284"/>
        <w:jc w:val="both"/>
        <w:rPr>
          <w:b/>
          <w:bCs/>
          <w:i/>
          <w:i/>
          <w:sz w:val="24"/>
          <w:szCs w:val="24"/>
        </w:rPr>
      </w:pPr>
      <w:r>
        <w:rPr>
          <w:b/>
          <w:bCs/>
          <w:i/>
          <w:sz w:val="24"/>
          <w:szCs w:val="24"/>
        </w:rPr>
      </w:r>
    </w:p>
    <w:p>
      <w:pPr>
        <w:pStyle w:val="Normal"/>
        <w:widowControl w:val="false"/>
        <w:spacing w:before="0" w:after="120"/>
        <w:ind w:hanging="0" w:left="284"/>
        <w:jc w:val="both"/>
        <w:rPr>
          <w:sz w:val="24"/>
          <w:szCs w:val="24"/>
        </w:rPr>
      </w:pPr>
      <w:r>
        <w:rPr>
          <w:b/>
          <w:bCs/>
          <w:i/>
          <w:sz w:val="24"/>
          <w:szCs w:val="24"/>
        </w:rPr>
        <w:t>Условия поставки:</w:t>
      </w:r>
    </w:p>
    <w:p>
      <w:pPr>
        <w:pStyle w:val="Normal"/>
        <w:widowControl w:val="false"/>
        <w:numPr>
          <w:ilvl w:val="0"/>
          <w:numId w:val="14"/>
        </w:numPr>
        <w:tabs>
          <w:tab w:val="left" w:pos="720" w:leader="none"/>
        </w:tabs>
        <w:spacing w:before="0" w:after="120"/>
        <w:ind w:firstLine="284" w:left="0"/>
        <w:jc w:val="both"/>
        <w:rPr>
          <w:sz w:val="24"/>
          <w:szCs w:val="24"/>
        </w:rPr>
      </w:pPr>
      <w:r>
        <w:rPr>
          <w:sz w:val="24"/>
          <w:szCs w:val="24"/>
        </w:rPr>
        <w:t>Общая стоимость Продукции (далее – «Цена Договора») по Договору составляет</w:t>
      </w:r>
      <w:r>
        <w:rPr>
          <w:b/>
          <w:sz w:val="24"/>
          <w:szCs w:val="24"/>
        </w:rPr>
        <w:t xml:space="preserve"> ____(_______) рубля __ копейки, включая НДС (22%) в сумме  (____ ) рублей ___ копеек.</w:t>
      </w:r>
    </w:p>
    <w:p>
      <w:pPr>
        <w:pStyle w:val="Normal"/>
        <w:widowControl w:val="false"/>
        <w:numPr>
          <w:ilvl w:val="0"/>
          <w:numId w:val="14"/>
        </w:numPr>
        <w:spacing w:lineRule="auto" w:line="288"/>
        <w:ind w:firstLine="284" w:left="0"/>
        <w:jc w:val="both"/>
        <w:rPr>
          <w:sz w:val="24"/>
          <w:szCs w:val="24"/>
        </w:rPr>
      </w:pPr>
      <w:r>
        <w:rPr>
          <w:sz w:val="24"/>
          <w:szCs w:val="24"/>
        </w:rPr>
        <w:t>Наличие паспортов и сертификатов качества, сертификатов страны происхождения и упаковочного листа.</w:t>
      </w:r>
    </w:p>
    <w:p>
      <w:pPr>
        <w:pStyle w:val="Normal"/>
        <w:numPr>
          <w:ilvl w:val="0"/>
          <w:numId w:val="14"/>
        </w:numPr>
        <w:tabs>
          <w:tab w:val="left" w:pos="720" w:leader="none"/>
        </w:tabs>
        <w:spacing w:lineRule="auto" w:line="288"/>
        <w:ind w:firstLine="284" w:left="0"/>
        <w:jc w:val="both"/>
        <w:rPr>
          <w:sz w:val="24"/>
          <w:szCs w:val="24"/>
        </w:rPr>
      </w:pPr>
      <w:r>
        <w:rPr>
          <w:sz w:val="24"/>
          <w:szCs w:val="24"/>
        </w:rPr>
        <w:t>Срок поставки Продукции по договору</w:t>
      </w:r>
      <w:r>
        <w:rPr>
          <w:sz w:val="24"/>
          <w:szCs w:val="24"/>
          <w:lang w:eastAsia="ru-RU"/>
        </w:rPr>
        <w:t xml:space="preserve"> не позднее 15 календарных дней с даты подписания договора.</w:t>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tbl>
      <w:tblPr>
        <w:tblW w:w="984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95"/>
        <w:gridCol w:w="4852"/>
      </w:tblGrid>
      <w:tr>
        <w:trPr>
          <w:trHeight w:val="1983" w:hRule="atLeast"/>
        </w:trPr>
        <w:tc>
          <w:tcPr>
            <w:tcW w:w="4995" w:type="dxa"/>
            <w:tcBorders/>
            <w:shd w:color="auto" w:fill="auto" w:val="clear"/>
          </w:tcPr>
          <w:p>
            <w:pPr>
              <w:pStyle w:val="Normal"/>
              <w:widowControl w:val="false"/>
              <w:snapToGrid w:val="false"/>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t xml:space="preserve">_____________________ </w:t>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t>м.п.</w:t>
            </w:r>
          </w:p>
        </w:tc>
        <w:tc>
          <w:tcPr>
            <w:tcW w:w="4852" w:type="dxa"/>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w:t>
            </w:r>
          </w:p>
          <w:p>
            <w:pPr>
              <w:pStyle w:val="Normal"/>
              <w:widowControl w:val="false"/>
              <w:rPr>
                <w:sz w:val="24"/>
                <w:szCs w:val="24"/>
              </w:rPr>
            </w:pPr>
            <w:r>
              <w:rPr>
                <w:sz w:val="24"/>
                <w:szCs w:val="24"/>
              </w:rPr>
              <w:t>м.п.</w:t>
            </w:r>
          </w:p>
        </w:tc>
      </w:tr>
    </w:tbl>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firstLine="567" w:left="0" w:right="0"/>
        <w:jc w:val="right"/>
        <w:outlineLvl w:val="0"/>
        <w:rPr>
          <w:sz w:val="24"/>
          <w:szCs w:val="24"/>
        </w:rPr>
      </w:pPr>
      <w:r>
        <w:rPr>
          <w:b/>
          <w:bCs/>
          <w:sz w:val="24"/>
          <w:szCs w:val="24"/>
        </w:rPr>
        <w:t>Приложение № 2</w:t>
      </w:r>
    </w:p>
    <w:p>
      <w:pPr>
        <w:pStyle w:val="Normal"/>
        <w:widowControl w:val="false"/>
        <w:spacing w:lineRule="auto" w:line="264"/>
        <w:ind w:firstLine="851" w:left="0" w:right="0"/>
        <w:jc w:val="right"/>
        <w:rPr>
          <w:sz w:val="24"/>
          <w:szCs w:val="24"/>
        </w:rPr>
      </w:pPr>
      <w:r>
        <w:rPr>
          <w:bCs/>
          <w:sz w:val="24"/>
          <w:szCs w:val="24"/>
        </w:rPr>
        <w:t xml:space="preserve">к договору поставки </w:t>
      </w:r>
    </w:p>
    <w:p>
      <w:pPr>
        <w:pStyle w:val="Normal"/>
        <w:widowControl w:val="false"/>
        <w:spacing w:lineRule="auto" w:line="264"/>
        <w:ind w:firstLine="851" w:left="0" w:right="0"/>
        <w:jc w:val="right"/>
        <w:rPr>
          <w:sz w:val="24"/>
          <w:szCs w:val="24"/>
        </w:rPr>
      </w:pPr>
      <w:r>
        <w:rPr>
          <w:bCs/>
          <w:sz w:val="24"/>
          <w:szCs w:val="24"/>
        </w:rPr>
        <w:t xml:space="preserve">№ </w:t>
      </w:r>
    </w:p>
    <w:p>
      <w:pPr>
        <w:pStyle w:val="Normal"/>
        <w:widowControl w:val="false"/>
        <w:spacing w:lineRule="auto" w:line="264"/>
        <w:ind w:firstLine="851" w:left="0" w:right="0"/>
        <w:jc w:val="right"/>
        <w:rPr>
          <w:sz w:val="24"/>
          <w:szCs w:val="24"/>
        </w:rPr>
      </w:pPr>
      <w:r>
        <w:rPr>
          <w:bCs/>
          <w:sz w:val="24"/>
          <w:szCs w:val="24"/>
        </w:rPr>
        <w:t xml:space="preserve">от  </w:t>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Standard"/>
        <w:widowControl w:val="false"/>
        <w:spacing w:lineRule="auto" w:line="264" w:before="0" w:after="0"/>
        <w:jc w:val="center"/>
        <w:rPr>
          <w:sz w:val="24"/>
          <w:szCs w:val="24"/>
        </w:rPr>
      </w:pPr>
      <w:r>
        <w:rPr>
          <w:rFonts w:cs="Times New Roman" w:ascii="Times New Roman" w:hAnsi="Times New Roman"/>
          <w:b/>
          <w:sz w:val="28"/>
          <w:szCs w:val="28"/>
          <w:lang w:eastAsia="ru-RU"/>
        </w:rPr>
        <w:t>Технические требования на поставку МТР</w:t>
      </w:r>
    </w:p>
    <w:p>
      <w:pPr>
        <w:pStyle w:val="Normal"/>
        <w:spacing w:lineRule="auto" w:line="264"/>
        <w:jc w:val="center"/>
        <w:rPr/>
      </w:pPr>
      <w:r>
        <w:rPr>
          <w:rFonts w:cs="Times New Roman"/>
          <w:sz w:val="28"/>
          <w:szCs w:val="28"/>
          <w:lang w:eastAsia="ru-RU"/>
        </w:rPr>
        <w:t xml:space="preserve">ОКПД 2: </w:t>
      </w:r>
    </w:p>
    <w:p>
      <w:pPr>
        <w:pStyle w:val="Normal"/>
        <w:spacing w:lineRule="auto" w:line="264"/>
        <w:jc w:val="center"/>
        <w:rPr>
          <w:rStyle w:val="Strong"/>
          <w:rFonts w:ascii="Times New Roman" w:hAnsi="Times New Roman" w:cs="Times New Roman"/>
          <w:b w:val="false"/>
          <w:i w:val="false"/>
          <w:i w:val="false"/>
          <w:caps w:val="false"/>
          <w:smallCaps w:val="false"/>
          <w:color w:val="000000"/>
          <w:spacing w:val="0"/>
          <w:sz w:val="28"/>
          <w:szCs w:val="28"/>
          <w:lang w:eastAsia="ru-RU"/>
        </w:rPr>
      </w:pPr>
      <w:r>
        <w:rPr>
          <w:rFonts w:cs="Times New Roman"/>
          <w:b w:val="false"/>
          <w:i w:val="false"/>
          <w:caps w:val="false"/>
          <w:smallCaps w:val="false"/>
          <w:color w:val="000000"/>
          <w:spacing w:val="0"/>
          <w:sz w:val="28"/>
          <w:szCs w:val="28"/>
          <w:lang w:eastAsia="ru-RU"/>
        </w:rPr>
      </w:r>
    </w:p>
    <w:p>
      <w:pPr>
        <w:pStyle w:val="Normal"/>
        <w:spacing w:lineRule="auto" w:line="264"/>
        <w:jc w:val="center"/>
        <w:rPr>
          <w:sz w:val="28"/>
          <w:szCs w:val="28"/>
        </w:rPr>
      </w:pPr>
      <w:r>
        <w:rPr>
          <w:rFonts w:cs="Times New Roman"/>
          <w:sz w:val="28"/>
          <w:szCs w:val="28"/>
          <w:lang w:eastAsia="ru-RU"/>
        </w:rPr>
        <w:t xml:space="preserve">Лот № </w:t>
      </w:r>
    </w:p>
    <w:p>
      <w:pPr>
        <w:pStyle w:val="Normal"/>
        <w:widowControl w:val="false"/>
        <w:spacing w:lineRule="auto" w:line="264"/>
        <w:jc w:val="center"/>
        <w:rPr>
          <w:sz w:val="24"/>
          <w:szCs w:val="24"/>
        </w:rPr>
      </w:pPr>
      <w:r>
        <w:rPr>
          <w:sz w:val="24"/>
          <w:szCs w:val="24"/>
        </w:rPr>
      </w:r>
    </w:p>
    <w:p>
      <w:pPr>
        <w:pStyle w:val="Standard"/>
        <w:widowControl w:val="false"/>
        <w:spacing w:lineRule="auto" w:line="264" w:before="0" w:after="0"/>
        <w:jc w:val="center"/>
        <w:rPr>
          <w:sz w:val="24"/>
          <w:szCs w:val="24"/>
        </w:rPr>
      </w:pPr>
      <w:r>
        <w:rPr>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sectPr>
      <w:headerReference w:type="default" r:id="rId6"/>
      <w:footerReference w:type="even" r:id="rId7"/>
      <w:footerReference w:type="default" r:id="rId8"/>
      <w:footerReference w:type="first" r:id="rId9"/>
      <w:footnotePr>
        <w:numFmt w:val="decimal"/>
      </w:footnotePr>
      <w:type w:val="nextPage"/>
      <w:pgSz w:w="11906" w:h="16838"/>
      <w:pgMar w:left="993" w:right="991" w:gutter="0" w:header="4" w:top="539" w:footer="0" w:bottom="72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Times New Roman">
    <w:charset w:val="01"/>
    <w:family w:val="roman"/>
    <w:pitch w:val="variable"/>
  </w:font>
  <w:font w:name="Symbol">
    <w:charset w:val="01"/>
    <w:family w:val="roman"/>
    <w:pitch w:val="variable"/>
  </w:font>
  <w:font w:name="Tahoma">
    <w:charset w:val="01"/>
    <w:family w:val="roman"/>
    <w:pitch w:val="variable"/>
  </w:font>
  <w:font w:name="Courier New">
    <w:charset w:val="01"/>
    <w:family w:val="roman"/>
    <w:pitch w:val="variable"/>
  </w:font>
  <w:font w:name="Wingdings">
    <w:charset w:val="01"/>
    <w:family w:val="roman"/>
    <w:pitch w:val="variable"/>
  </w:font>
  <w:font w:name="Calibri">
    <w:charset w:val="01"/>
    <w:family w:val="roman"/>
    <w:pitch w:val="variable"/>
  </w:font>
  <w:font w:name="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ambria">
    <w:charset w:val="01"/>
    <w:family w:val="roman"/>
    <w:pitch w:val="variable"/>
  </w:font>
  <w:font w:name="Symbol">
    <w:charset w:val="02"/>
    <w:family w:val="auto"/>
    <w:pitch w:val="default"/>
  </w:font>
  <w:font w:name="Tahoma">
    <w:charset w:val="01"/>
    <w:family w:val="swiss"/>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2"/>
      <w:numFmt w:val="decimal"/>
      <w:lvlText w:val="%1"/>
      <w:lvlJc w:val="left"/>
      <w:pPr>
        <w:tabs>
          <w:tab w:val="num" w:pos="720"/>
        </w:tabs>
        <w:ind w:left="284" w:firstLine="76"/>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b w:val="false"/>
        <w:szCs w:val="24"/>
      </w:rPr>
    </w:lvl>
    <w:lvl w:ilvl="2">
      <w:start w:val="1"/>
      <w:numFmt w:val="decimal"/>
      <w:lvlText w:val="%1.%2.%3."/>
      <w:lvlJc w:val="left"/>
      <w:pPr>
        <w:tabs>
          <w:tab w:val="num" w:pos="1571"/>
        </w:tabs>
        <w:ind w:left="1355"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2"/>
      <w:numFmt w:val="decimal"/>
      <w:lvlText w:val="%1."/>
      <w:lvlJc w:val="left"/>
      <w:pPr>
        <w:tabs>
          <w:tab w:val="num" w:pos="0"/>
        </w:tabs>
        <w:ind w:left="540" w:hanging="540"/>
      </w:pPr>
      <w:rPr/>
    </w:lvl>
    <w:lvl w:ilvl="1">
      <w:start w:val="5"/>
      <w:numFmt w:val="decimal"/>
      <w:lvlText w:val="%1.%2."/>
      <w:lvlJc w:val="left"/>
      <w:pPr>
        <w:tabs>
          <w:tab w:val="num" w:pos="0"/>
        </w:tabs>
        <w:ind w:left="540" w:hanging="540"/>
      </w:pPr>
      <w:rPr>
        <w:b w:val="false"/>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6">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7">
    <w:lvl w:ilvl="0">
      <w:start w:val="6"/>
      <w:numFmt w:val="decimal"/>
      <w:lvlText w:val="%1."/>
      <w:lvlJc w:val="left"/>
      <w:pPr>
        <w:tabs>
          <w:tab w:val="num" w:pos="0"/>
        </w:tabs>
        <w:ind w:left="360" w:hanging="360"/>
      </w:pPr>
      <w:rPr/>
    </w:lvl>
    <w:lvl w:ilvl="1">
      <w:start w:val="1"/>
      <w:numFmt w:val="decimal"/>
      <w:lvlText w:val="%1.%2."/>
      <w:lvlJc w:val="left"/>
      <w:pPr>
        <w:tabs>
          <w:tab w:val="num" w:pos="0"/>
        </w:tabs>
        <w:ind w:left="786" w:hanging="360"/>
      </w:pPr>
      <w:rPr>
        <w:b w:val="false"/>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isplayBackgroundShape/>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0"/>
        <w:numId w:val="8"/>
      </w:numPr>
      <w:ind w:hanging="0" w:left="3119"/>
      <w:outlineLvl w:val="3"/>
    </w:pPr>
    <w:rPr>
      <w:b/>
    </w:rPr>
  </w:style>
  <w:style w:type="paragraph" w:styleId="Heading5">
    <w:name w:val="Heading 5"/>
    <w:basedOn w:val="Normal"/>
    <w:next w:val="Normal"/>
    <w:qFormat/>
    <w:pPr>
      <w:keepNext w:val="true"/>
      <w:numPr>
        <w:ilvl w:val="0"/>
        <w:numId w:val="7"/>
      </w:numPr>
      <w:jc w:val="center"/>
      <w:outlineLvl w:val="4"/>
    </w:pPr>
    <w:rPr>
      <w:b/>
    </w:rPr>
  </w:style>
  <w:style w:type="paragraph" w:styleId="Heading6">
    <w:name w:val="Heading 6"/>
    <w:basedOn w:val="Normal"/>
    <w:next w:val="Normal"/>
    <w:qFormat/>
    <w:pPr>
      <w:keepNext w:val="true"/>
      <w:numPr>
        <w:ilvl w:val="5"/>
        <w:numId w:val="1"/>
      </w:numPr>
      <w:jc w:val="center"/>
      <w:outlineLvl w:val="5"/>
    </w:pPr>
    <w:rPr>
      <w:sz w:val="28"/>
    </w:rPr>
  </w:style>
  <w:style w:type="paragraph" w:styleId="Heading7">
    <w:name w:val="Heading 7"/>
    <w:basedOn w:val="Normal"/>
    <w:next w:val="Normal"/>
    <w:qFormat/>
    <w:pPr>
      <w:keepNext w:val="true"/>
      <w:numPr>
        <w:ilvl w:val="6"/>
        <w:numId w:val="1"/>
      </w:numPr>
      <w:jc w:val="center"/>
      <w:outlineLvl w:val="6"/>
    </w:pPr>
    <w:rPr>
      <w:bCs/>
      <w:sz w:val="24"/>
    </w:rPr>
  </w:style>
  <w:style w:type="paragraph" w:styleId="Heading8">
    <w:name w:val="Heading 8"/>
    <w:basedOn w:val="Normal"/>
    <w:next w:val="Normal"/>
    <w:qFormat/>
    <w:pPr>
      <w:keepNext w:val="true"/>
      <w:numPr>
        <w:ilvl w:val="7"/>
        <w:numId w:val="1"/>
      </w:numPr>
      <w:jc w:val="center"/>
      <w:outlineLvl w:val="7"/>
    </w:pPr>
    <w:rPr>
      <w:b/>
      <w:bCs/>
      <w:sz w:val="24"/>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Symbol"/>
    </w:rPr>
  </w:style>
  <w:style w:type="character" w:styleId="WW8Num3z0" w:customStyle="1">
    <w:name w:val="WW8Num3z0"/>
    <w:qFormat/>
    <w:rPr>
      <w:rFonts w:ascii="Symbol" w:hAnsi="Symbol" w:cs="Symbol"/>
    </w:rPr>
  </w:style>
  <w:style w:type="character" w:styleId="WW8Num4z0" w:customStyle="1">
    <w:name w:val="WW8Num4z0"/>
    <w:qFormat/>
    <w:rPr>
      <w:rFonts w:ascii="Symbol" w:hAnsi="Symbol" w:cs="Symbol"/>
    </w:rPr>
  </w:style>
  <w:style w:type="character" w:styleId="WW8Num5z0" w:customStyle="1">
    <w:name w:val="WW8Num5z0"/>
    <w:qFormat/>
    <w:rPr>
      <w:rFonts w:ascii="Tahoma" w:hAnsi="Tahoma" w:cs="Tahoma"/>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rFonts w:ascii="Symbol" w:hAnsi="Symbol" w:cs="Symbol"/>
    </w:rPr>
  </w:style>
  <w:style w:type="character" w:styleId="WW8Num11z0" w:customStyle="1">
    <w:name w:val="WW8Num11z0"/>
    <w:qFormat/>
    <w:rPr>
      <w:b/>
    </w:rPr>
  </w:style>
  <w:style w:type="character" w:styleId="WW8Num11z1" w:customStyle="1">
    <w:name w:val="WW8Num11z1"/>
    <w:qFormat/>
    <w:rPr>
      <w:b w:val="false"/>
      <w:sz w:val="24"/>
      <w:szCs w:val="24"/>
    </w:rPr>
  </w:style>
  <w:style w:type="character" w:styleId="WW8Num11z2" w:customStyle="1">
    <w:name w:val="WW8Num11z2"/>
    <w:qFormat/>
    <w:rPr/>
  </w:style>
  <w:style w:type="character" w:styleId="WW8Num12z0" w:customStyle="1">
    <w:name w:val="WW8Num12z0"/>
    <w:qFormat/>
    <w:rPr/>
  </w:style>
  <w:style w:type="character" w:styleId="WW8Num12z1" w:customStyle="1">
    <w:name w:val="WW8Num12z1"/>
    <w:qFormat/>
    <w:rPr>
      <w:b w:val="false"/>
      <w:sz w:val="24"/>
      <w:szCs w:val="24"/>
    </w:rPr>
  </w:style>
  <w:style w:type="character" w:styleId="WW8Num13z0" w:customStyle="1">
    <w:name w:val="WW8Num13z0"/>
    <w:qFormat/>
    <w:rPr>
      <w:rFonts w:ascii="Symbol" w:hAnsi="Symbol" w:cs="Symbol"/>
    </w:rPr>
  </w:style>
  <w:style w:type="character" w:styleId="WW8Num14z0" w:customStyle="1">
    <w:name w:val="WW8Num14z0"/>
    <w:qFormat/>
    <w:rPr/>
  </w:style>
  <w:style w:type="character" w:styleId="WW8Num14z1" w:customStyle="1">
    <w:name w:val="WW8Num14z1"/>
    <w:qFormat/>
    <w:rPr>
      <w:sz w:val="24"/>
      <w:szCs w:val="24"/>
    </w:rPr>
  </w:style>
  <w:style w:type="character" w:styleId="WW8Num17z0" w:customStyle="1">
    <w:name w:val="WW8Num17z0"/>
    <w:qFormat/>
    <w:rPr>
      <w:rFonts w:ascii="Times New Roman" w:hAnsi="Times New Roman" w:cs="Times New Roman"/>
      <w:b/>
      <w:bCs w:val="false"/>
      <w:sz w:val="20"/>
      <w:szCs w:val="20"/>
    </w:rPr>
  </w:style>
  <w:style w:type="character" w:styleId="WW8Num17z1" w:customStyle="1">
    <w:name w:val="WW8Num17z1"/>
    <w:qFormat/>
    <w:rPr>
      <w:rFonts w:ascii="Times New Roman" w:hAnsi="Times New Roman" w:cs="Times New Roman"/>
      <w:b w:val="false"/>
      <w:bCs/>
      <w:sz w:val="20"/>
      <w:szCs w:val="20"/>
    </w:rPr>
  </w:style>
  <w:style w:type="character" w:styleId="WW8Num17z2" w:customStyle="1">
    <w:name w:val="WW8Num17z2"/>
    <w:qFormat/>
    <w:rPr>
      <w:sz w:val="24"/>
      <w:szCs w:val="24"/>
    </w:rPr>
  </w:style>
  <w:style w:type="character" w:styleId="WW8Num18z0" w:customStyle="1">
    <w:name w:val="WW8Num18z0"/>
    <w:qFormat/>
    <w:rPr>
      <w:rFonts w:ascii="Times New Roman" w:hAnsi="Times New Roman" w:cs="Times New Roman"/>
      <w:sz w:val="24"/>
      <w:szCs w:val="24"/>
    </w:rPr>
  </w:style>
  <w:style w:type="character" w:styleId="WW8Num20z0" w:customStyle="1">
    <w:name w:val="WW8Num20z0"/>
    <w:qFormat/>
    <w:rPr>
      <w:b/>
    </w:rPr>
  </w:style>
  <w:style w:type="character" w:styleId="WW8Num20z1" w:customStyle="1">
    <w:name w:val="WW8Num20z1"/>
    <w:qFormat/>
    <w:rPr>
      <w:rFonts w:ascii="Times New Roman" w:hAnsi="Times New Roman" w:cs="Times New Roman"/>
      <w:b/>
      <w:sz w:val="24"/>
      <w:szCs w:val="24"/>
    </w:rPr>
  </w:style>
  <w:style w:type="character" w:styleId="WW8Num21z1" w:customStyle="1">
    <w:name w:val="WW8Num21z1"/>
    <w:qFormat/>
    <w:rPr>
      <w:rFonts w:ascii="Times New Roman" w:hAnsi="Times New Roman" w:cs="Times New Roman"/>
      <w:b/>
      <w:sz w:val="24"/>
      <w:szCs w:val="24"/>
    </w:rPr>
  </w:style>
  <w:style w:type="character" w:styleId="WW8Num21z2" w:customStyle="1">
    <w:name w:val="WW8Num21z2"/>
    <w:qFormat/>
    <w:rPr>
      <w:rFonts w:ascii="Times New Roman" w:hAnsi="Times New Roman" w:cs="Times New Roman"/>
      <w:b/>
      <w:bCs/>
      <w:sz w:val="24"/>
      <w:szCs w:val="24"/>
    </w:rPr>
  </w:style>
  <w:style w:type="character" w:styleId="WW8Num22z0" w:customStyle="1">
    <w:name w:val="WW8Num22z0"/>
    <w:qFormat/>
    <w:rPr>
      <w:b/>
    </w:rPr>
  </w:style>
  <w:style w:type="character" w:styleId="WW8Num22z1" w:customStyle="1">
    <w:name w:val="WW8Num22z1"/>
    <w:qFormat/>
    <w:rPr>
      <w:rFonts w:ascii="Times New Roman" w:hAnsi="Times New Roman" w:cs="Times New Roman"/>
      <w:b/>
      <w:sz w:val="24"/>
      <w:szCs w:val="24"/>
    </w:rPr>
  </w:style>
  <w:style w:type="character" w:styleId="WW8Num25z0" w:customStyle="1">
    <w:name w:val="WW8Num25z0"/>
    <w:qFormat/>
    <w:rPr>
      <w:b/>
      <w:bCs w:val="false"/>
      <w:sz w:val="20"/>
      <w:szCs w:val="20"/>
    </w:rPr>
  </w:style>
  <w:style w:type="character" w:styleId="WW8Num25z1" w:customStyle="1">
    <w:name w:val="WW8Num25z1"/>
    <w:qFormat/>
    <w:rPr>
      <w:b w:val="false"/>
      <w:bCs/>
      <w:sz w:val="20"/>
      <w:szCs w:val="20"/>
    </w:rPr>
  </w:style>
  <w:style w:type="character" w:styleId="WW8Num25z2" w:customStyle="1">
    <w:name w:val="WW8Num25z2"/>
    <w:qFormat/>
    <w:rPr>
      <w:sz w:val="24"/>
      <w:szCs w:val="24"/>
    </w:rPr>
  </w:style>
  <w:style w:type="character" w:styleId="WW8Num28z0" w:customStyle="1">
    <w:name w:val="WW8Num28z0"/>
    <w:qFormat/>
    <w:rPr>
      <w:b/>
    </w:rPr>
  </w:style>
  <w:style w:type="character" w:styleId="WW8Num28z1" w:customStyle="1">
    <w:name w:val="WW8Num28z1"/>
    <w:qFormat/>
    <w:rPr>
      <w:rFonts w:ascii="Times New Roman" w:hAnsi="Times New Roman" w:cs="Times New Roman"/>
      <w:b/>
      <w:sz w:val="24"/>
      <w:szCs w:val="24"/>
    </w:rPr>
  </w:style>
  <w:style w:type="character" w:styleId="WW8Num28z2" w:customStyle="1">
    <w:name w:val="WW8Num28z2"/>
    <w:qFormat/>
    <w:rPr/>
  </w:style>
  <w:style w:type="character" w:styleId="WW8Num29z0" w:customStyle="1">
    <w:name w:val="WW8Num29z0"/>
    <w:qFormat/>
    <w:rPr>
      <w:sz w:val="22"/>
      <w:szCs w:val="22"/>
    </w:rPr>
  </w:style>
  <w:style w:type="character" w:styleId="WW8Num32z0" w:customStyle="1">
    <w:name w:val="WW8Num32z0"/>
    <w:qFormat/>
    <w:rPr/>
  </w:style>
  <w:style w:type="character" w:styleId="WW8Num32z1" w:customStyle="1">
    <w:name w:val="WW8Num32z1"/>
    <w:qFormat/>
    <w:rPr>
      <w:b/>
    </w:rPr>
  </w:style>
  <w:style w:type="character" w:styleId="WW8Num34z0" w:customStyle="1">
    <w:name w:val="WW8Num34z0"/>
    <w:qFormat/>
    <w:rPr>
      <w:sz w:val="22"/>
      <w:szCs w:val="22"/>
    </w:rPr>
  </w:style>
  <w:style w:type="character" w:styleId="WW8Num35z1" w:customStyle="1">
    <w:name w:val="WW8Num35z1"/>
    <w:qFormat/>
    <w:rPr>
      <w:b/>
    </w:rPr>
  </w:style>
  <w:style w:type="character" w:styleId="WW8Num36z0" w:customStyle="1">
    <w:name w:val="WW8Num36z0"/>
    <w:qFormat/>
    <w:rPr/>
  </w:style>
  <w:style w:type="character" w:styleId="WW8Num36z1" w:customStyle="1">
    <w:name w:val="WW8Num36z1"/>
    <w:qFormat/>
    <w:rPr>
      <w:sz w:val="24"/>
      <w:szCs w:val="24"/>
    </w:rPr>
  </w:style>
  <w:style w:type="character" w:styleId="WW8Num40z0" w:customStyle="1">
    <w:name w:val="WW8Num40z0"/>
    <w:qFormat/>
    <w:rPr>
      <w:b/>
    </w:rPr>
  </w:style>
  <w:style w:type="character" w:styleId="WW8Num40z1" w:customStyle="1">
    <w:name w:val="WW8Num40z1"/>
    <w:qFormat/>
    <w:rPr>
      <w:rFonts w:ascii="Times New Roman" w:hAnsi="Times New Roman" w:cs="Times New Roman"/>
      <w:b/>
      <w:sz w:val="24"/>
      <w:szCs w:val="24"/>
    </w:rPr>
  </w:style>
  <w:style w:type="character" w:styleId="4" w:customStyle="1">
    <w:name w:val="Основной шрифт абзаца4"/>
    <w:qFormat/>
    <w:rPr/>
  </w:style>
  <w:style w:type="character" w:styleId="3" w:customStyle="1">
    <w:name w:val="Основной шрифт абзаца3"/>
    <w:qFormat/>
    <w:rPr/>
  </w:style>
  <w:style w:type="character" w:styleId="WW8Num15z0" w:customStyle="1">
    <w:name w:val="WW8Num15z0"/>
    <w:qFormat/>
    <w:rPr/>
  </w:style>
  <w:style w:type="character" w:styleId="WW8Num15z1" w:customStyle="1">
    <w:name w:val="WW8Num15z1"/>
    <w:qFormat/>
    <w:rPr>
      <w:b w:val="false"/>
      <w:sz w:val="24"/>
      <w:szCs w:val="24"/>
    </w:rPr>
  </w:style>
  <w:style w:type="character" w:styleId="WW8Num16z0" w:customStyle="1">
    <w:name w:val="WW8Num16z0"/>
    <w:qFormat/>
    <w:rPr>
      <w:rFonts w:ascii="Symbol" w:hAnsi="Symbol" w:cs="Symbol"/>
    </w:rPr>
  </w:style>
  <w:style w:type="character" w:styleId="WW8Num21z0" w:customStyle="1">
    <w:name w:val="WW8Num21z0"/>
    <w:qFormat/>
    <w:rPr>
      <w:rFonts w:ascii="Times New Roman" w:hAnsi="Times New Roman" w:cs="Times New Roman"/>
      <w:b/>
      <w:bCs w:val="false"/>
      <w:sz w:val="20"/>
      <w:szCs w:val="20"/>
    </w:rPr>
  </w:style>
  <w:style w:type="character" w:styleId="WW8Num23z0" w:customStyle="1">
    <w:name w:val="WW8Num23z0"/>
    <w:qFormat/>
    <w:rPr>
      <w:rFonts w:ascii="Times New Roman" w:hAnsi="Times New Roman" w:cs="Times New Roman"/>
      <w:sz w:val="24"/>
      <w:szCs w:val="24"/>
    </w:rPr>
  </w:style>
  <w:style w:type="character" w:styleId="WW8Num27z0" w:customStyle="1">
    <w:name w:val="WW8Num27z0"/>
    <w:qFormat/>
    <w:rPr>
      <w:b/>
    </w:rPr>
  </w:style>
  <w:style w:type="character" w:styleId="WW8Num27z1" w:customStyle="1">
    <w:name w:val="WW8Num27z1"/>
    <w:qFormat/>
    <w:rPr>
      <w:rFonts w:ascii="Times New Roman" w:hAnsi="Times New Roman" w:cs="Times New Roman"/>
      <w:b/>
      <w:sz w:val="24"/>
      <w:szCs w:val="24"/>
    </w:rPr>
  </w:style>
  <w:style w:type="character" w:styleId="2" w:customStyle="1">
    <w:name w:val="Основной шрифт абзаца2"/>
    <w:qFormat/>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5z1" w:customStyle="1">
    <w:name w:val="WW8Num5z1"/>
    <w:qFormat/>
    <w:rPr>
      <w:b/>
    </w:rPr>
  </w:style>
  <w:style w:type="character" w:styleId="WW8Num6z1" w:customStyle="1">
    <w:name w:val="WW8Num6z1"/>
    <w:qFormat/>
    <w:rPr>
      <w:b w:val="false"/>
      <w:bCs/>
      <w:sz w:val="20"/>
      <w:szCs w:val="20"/>
    </w:rPr>
  </w:style>
  <w:style w:type="character" w:styleId="WW8Num6z2" w:customStyle="1">
    <w:name w:val="WW8Num6z2"/>
    <w:qFormat/>
    <w:rPr>
      <w:sz w:val="24"/>
      <w:szCs w:val="24"/>
    </w:rPr>
  </w:style>
  <w:style w:type="character" w:styleId="WW8Num9z1" w:customStyle="1">
    <w:name w:val="WW8Num9z1"/>
    <w:qFormat/>
    <w:rPr>
      <w:rFonts w:ascii="Times New Roman" w:hAnsi="Times New Roman" w:cs="Times New Roman"/>
      <w:b/>
      <w:sz w:val="24"/>
      <w:szCs w:val="24"/>
    </w:rPr>
  </w:style>
  <w:style w:type="character" w:styleId="WW8Num9z2" w:customStyle="1">
    <w:name w:val="WW8Num9z2"/>
    <w:qFormat/>
    <w:rPr/>
  </w:style>
  <w:style w:type="character" w:styleId="WW8Num12z2" w:customStyle="1">
    <w:name w:val="WW8Num12z2"/>
    <w:qFormat/>
    <w:rPr>
      <w:rFonts w:ascii="Wingdings" w:hAnsi="Wingdings" w:cs="Wingdings"/>
    </w:rPr>
  </w:style>
  <w:style w:type="character" w:styleId="WW8Num18z1" w:customStyle="1">
    <w:name w:val="WW8Num18z1"/>
    <w:qFormat/>
    <w:rPr>
      <w:sz w:val="24"/>
      <w:szCs w:val="24"/>
    </w:rPr>
  </w:style>
  <w:style w:type="character" w:styleId="WW8Num19z0" w:customStyle="1">
    <w:name w:val="WW8Num19z0"/>
    <w:qFormat/>
    <w:rPr/>
  </w:style>
  <w:style w:type="character" w:styleId="WW8Num19z1" w:customStyle="1">
    <w:name w:val="WW8Num19z1"/>
    <w:qFormat/>
    <w:rPr>
      <w:b w:val="false"/>
      <w:sz w:val="24"/>
      <w:szCs w:val="24"/>
    </w:rPr>
  </w:style>
  <w:style w:type="character" w:styleId="WW8Num20z2" w:customStyle="1">
    <w:name w:val="WW8Num20z2"/>
    <w:qFormat/>
    <w:rPr>
      <w:rFonts w:ascii="Wingdings" w:hAnsi="Wingdings" w:cs="Wingdings"/>
    </w:rPr>
  </w:style>
  <w:style w:type="character" w:styleId="1" w:customStyle="1">
    <w:name w:val="Основной шрифт абзаца1"/>
    <w:qFormat/>
    <w:rPr/>
  </w:style>
  <w:style w:type="character" w:styleId="Pagenumber">
    <w:name w:val="page number"/>
    <w:basedOn w:val="1"/>
    <w:qFormat/>
    <w:rPr/>
  </w:style>
  <w:style w:type="character" w:styleId="Style1" w:customStyle="1">
    <w:name w:val="Название Знак"/>
    <w:qFormat/>
    <w:rPr>
      <w:b/>
      <w:bCs/>
      <w:sz w:val="28"/>
      <w:szCs w:val="24"/>
    </w:rPr>
  </w:style>
  <w:style w:type="character" w:styleId="21" w:customStyle="1">
    <w:name w:val="Основной текст с отступом 2 Знак"/>
    <w:qFormat/>
    <w:rPr>
      <w:sz w:val="24"/>
    </w:rPr>
  </w:style>
  <w:style w:type="character" w:styleId="Style2" w:customStyle="1">
    <w:name w:val="Текст выноски Знак"/>
    <w:qFormat/>
    <w:rPr>
      <w:rFonts w:ascii="Tahoma" w:hAnsi="Tahoma" w:cs="Tahoma"/>
      <w:sz w:val="16"/>
      <w:szCs w:val="16"/>
    </w:rPr>
  </w:style>
  <w:style w:type="character" w:styleId="Style3" w:customStyle="1">
    <w:name w:val="Основной текст Знак"/>
    <w:qFormat/>
    <w:rPr>
      <w:sz w:val="22"/>
    </w:rPr>
  </w:style>
  <w:style w:type="character" w:styleId="31" w:customStyle="1">
    <w:name w:val="Основной текст 3 Знак"/>
    <w:qFormat/>
    <w:rPr>
      <w:sz w:val="28"/>
    </w:rPr>
  </w:style>
  <w:style w:type="character" w:styleId="11" w:customStyle="1">
    <w:name w:val="Знак примечания1"/>
    <w:qFormat/>
    <w:rPr>
      <w:sz w:val="16"/>
      <w:szCs w:val="16"/>
    </w:rPr>
  </w:style>
  <w:style w:type="character" w:styleId="Style4" w:customStyle="1">
    <w:name w:val="Текст примечания Знак"/>
    <w:basedOn w:val="1"/>
    <w:qFormat/>
    <w:rPr/>
  </w:style>
  <w:style w:type="character" w:styleId="Style5" w:customStyle="1">
    <w:name w:val="Тема примечания Знак"/>
    <w:qFormat/>
    <w:rPr>
      <w:b/>
      <w:bCs/>
    </w:rPr>
  </w:style>
  <w:style w:type="character" w:styleId="32" w:customStyle="1">
    <w:name w:val="Заголовок 3 Знак"/>
    <w:qFormat/>
    <w:rPr>
      <w:b/>
    </w:rPr>
  </w:style>
  <w:style w:type="character" w:styleId="Style6" w:customStyle="1">
    <w:name w:val="Основной текст с отступом Знак"/>
    <w:qFormat/>
    <w:rPr>
      <w:sz w:val="22"/>
      <w:shd w:fill="FFFFFF" w:val="clear"/>
    </w:rPr>
  </w:style>
  <w:style w:type="character" w:styleId="Style7" w:customStyle="1">
    <w:name w:val="комментарий"/>
    <w:qFormat/>
    <w:rPr>
      <w:rFonts w:cs="Times New Roman"/>
      <w:b/>
      <w:bCs/>
      <w:i/>
      <w:iCs/>
      <w:shd w:fill="FFFF99" w:val="clear"/>
    </w:rPr>
  </w:style>
  <w:style w:type="character" w:styleId="Style8" w:customStyle="1">
    <w:name w:val="Текст сноски Знак"/>
    <w:basedOn w:val="1"/>
    <w:qFormat/>
    <w:rPr/>
  </w:style>
  <w:style w:type="character" w:styleId="Style9" w:customStyle="1">
    <w:name w:val="Символ сноски"/>
    <w:qFormat/>
    <w:rPr>
      <w:vertAlign w:val="superscript"/>
    </w:rPr>
  </w:style>
  <w:style w:type="character" w:styleId="Style10" w:customStyle="1">
    <w:name w:val="Схема документа Знак"/>
    <w:qFormat/>
    <w:rPr>
      <w:rFonts w:ascii="Tahoma" w:hAnsi="Tahoma" w:cs="Tahoma"/>
      <w:shd w:fill="000080" w:val="clear"/>
    </w:rPr>
  </w:style>
  <w:style w:type="character" w:styleId="Style11" w:customStyle="1">
    <w:name w:val="Верхний колонтитул Знак"/>
    <w:basedOn w:val="1"/>
    <w:qFormat/>
    <w:rPr/>
  </w:style>
  <w:style w:type="character" w:styleId="Hyperlink">
    <w:name w:val="Hyperlink"/>
    <w:rPr>
      <w:color w:val="0000FF"/>
      <w:u w:val="single"/>
    </w:rPr>
  </w:style>
  <w:style w:type="character" w:styleId="Style12" w:customStyle="1">
    <w:name w:val="Абзац списка Знак"/>
    <w:uiPriority w:val="34"/>
    <w:qFormat/>
    <w:rPr/>
  </w:style>
  <w:style w:type="character" w:styleId="12" w:customStyle="1">
    <w:name w:val="1. Статья Знак"/>
    <w:qFormat/>
    <w:rPr>
      <w:sz w:val="24"/>
      <w:szCs w:val="24"/>
      <w:lang w:val="x-none"/>
    </w:rPr>
  </w:style>
  <w:style w:type="character" w:styleId="Style13" w:customStyle="1">
    <w:name w:val="Основной текст_"/>
    <w:qFormat/>
    <w:rPr>
      <w:rFonts w:cs="Calibri"/>
      <w:sz w:val="22"/>
      <w:szCs w:val="22"/>
      <w:shd w:fill="FFFFFF" w:val="clear"/>
    </w:rPr>
  </w:style>
  <w:style w:type="character" w:styleId="211" w:customStyle="1">
    <w:name w:val="Основной текст (2) + 1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Style14" w:customStyle="1">
    <w:name w:val="Нижний колонтитул Знак"/>
    <w:qFormat/>
    <w:rPr/>
  </w:style>
  <w:style w:type="character" w:styleId="13" w:customStyle="1">
    <w:name w:val="Заголовок 1 Знак"/>
    <w:qFormat/>
    <w:rPr>
      <w:b/>
    </w:rPr>
  </w:style>
  <w:style w:type="character" w:styleId="22" w:customStyle="1">
    <w:name w:val="Заголовок 2 Знак"/>
    <w:qFormat/>
    <w:rPr>
      <w:b/>
    </w:rPr>
  </w:style>
  <w:style w:type="character" w:styleId="41" w:customStyle="1">
    <w:name w:val="Заголовок 4 Знак"/>
    <w:qFormat/>
    <w:rPr>
      <w:b/>
    </w:rPr>
  </w:style>
  <w:style w:type="character" w:styleId="Style15" w:customStyle="1">
    <w:name w:val="Текст Знак"/>
    <w:qFormat/>
    <w:rPr>
      <w:rFonts w:ascii="Calibri" w:hAnsi="Calibri" w:cs="Calibri"/>
      <w:szCs w:val="21"/>
    </w:rPr>
  </w:style>
  <w:style w:type="character" w:styleId="Apple-converted-space" w:customStyle="1">
    <w:name w:val="apple-converted-space"/>
    <w:qFormat/>
    <w:rPr/>
  </w:style>
  <w:style w:type="character" w:styleId="Bodytext2" w:customStyle="1">
    <w:name w:val="Body text (2)"/>
    <w:qFormat/>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position w:val="0"/>
      <w:sz w:val="18"/>
      <w:sz w:val="18"/>
      <w:szCs w:val="18"/>
      <w:u w:val="none"/>
      <w:vertAlign w:val="baseline"/>
      <w:lang w:val="ru-RU" w:bidi="ru-RU"/>
    </w:rPr>
  </w:style>
  <w:style w:type="character" w:styleId="Bodytext21" w:customStyle="1">
    <w:name w:val="Body text (2)_"/>
    <w:qFormat/>
    <w:rPr>
      <w:b w:val="false"/>
      <w:bCs w:val="false"/>
      <w:i w:val="false"/>
      <w:iCs w:val="false"/>
      <w:caps w:val="false"/>
      <w:smallCaps w:val="false"/>
      <w:strike w:val="false"/>
      <w:dstrike w:val="false"/>
      <w:sz w:val="18"/>
      <w:szCs w:val="18"/>
      <w:u w:val="none"/>
    </w:rPr>
  </w:style>
  <w:style w:type="character" w:styleId="HTML" w:customStyle="1">
    <w:name w:val="Стандартный HTML Знак"/>
    <w:qFormat/>
    <w:rPr>
      <w:rFonts w:ascii="Courier New" w:hAnsi="Courier New" w:cs="Courier New"/>
    </w:rPr>
  </w:style>
  <w:style w:type="character" w:styleId="14" w:customStyle="1">
    <w:name w:val="Текст Знак1"/>
    <w:qFormat/>
    <w:rPr>
      <w:rFonts w:ascii="Courier New" w:hAnsi="Courier New" w:cs="Courier New"/>
    </w:rPr>
  </w:style>
  <w:style w:type="character" w:styleId="FollowedHyperlink">
    <w:name w:val="FollowedHyperlink"/>
    <w:rPr>
      <w:color w:val="800080"/>
      <w:u w:val="single"/>
    </w:rPr>
  </w:style>
  <w:style w:type="character" w:styleId="15" w:customStyle="1">
    <w:name w:val="Знак сноски1"/>
    <w:qFormat/>
    <w:rPr>
      <w:vertAlign w:val="superscript"/>
    </w:rPr>
  </w:style>
  <w:style w:type="character" w:styleId="Style16" w:customStyle="1">
    <w:name w:val="Символ концевой сноски"/>
    <w:qFormat/>
    <w:rPr>
      <w:vertAlign w:val="superscript"/>
    </w:rPr>
  </w:style>
  <w:style w:type="character" w:styleId="WW-" w:customStyle="1">
    <w:name w:val="WW-Символ концевой сноски"/>
    <w:qFormat/>
    <w:rPr/>
  </w:style>
  <w:style w:type="character" w:styleId="16" w:customStyle="1">
    <w:name w:val="Знак концевой сноски1"/>
    <w:qFormat/>
    <w:rPr>
      <w:vertAlign w:val="superscript"/>
    </w:rPr>
  </w:style>
  <w:style w:type="character" w:styleId="23" w:customStyle="1">
    <w:name w:val="Знак сноски2"/>
    <w:qFormat/>
    <w:rPr>
      <w:vertAlign w:val="superscript"/>
    </w:rPr>
  </w:style>
  <w:style w:type="character" w:styleId="24" w:customStyle="1">
    <w:name w:val="Знак концевой сноски2"/>
    <w:qFormat/>
    <w:rPr>
      <w:vertAlign w:val="superscript"/>
    </w:rPr>
  </w:style>
  <w:style w:type="character" w:styleId="33" w:customStyle="1">
    <w:name w:val="Знак сноски3"/>
    <w:qFormat/>
    <w:rPr>
      <w:vertAlign w:val="superscript"/>
    </w:rPr>
  </w:style>
  <w:style w:type="character" w:styleId="34" w:customStyle="1">
    <w:name w:val="Знак концевой сноски3"/>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rong">
    <w:name w:val="Strong"/>
    <w:qFormat/>
    <w:rPr>
      <w:b/>
      <w:bCs/>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42" w:customStyle="1">
    <w:name w:val="Заголовок4"/>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1" w:customStyle="1">
    <w:name w:val="caption11"/>
    <w:basedOn w:val="Normal"/>
    <w:qFormat/>
    <w:pPr>
      <w:suppressLineNumbers/>
      <w:spacing w:before="120" w:after="120"/>
    </w:pPr>
    <w:rPr>
      <w:i/>
      <w:iCs/>
      <w:sz w:val="24"/>
      <w:szCs w:val="24"/>
    </w:rPr>
  </w:style>
  <w:style w:type="paragraph" w:styleId="43" w:customStyle="1">
    <w:name w:val="Указатель4"/>
    <w:basedOn w:val="Normal"/>
    <w:qFormat/>
    <w:pPr>
      <w:suppressLineNumbers/>
    </w:pPr>
    <w:rPr/>
  </w:style>
  <w:style w:type="paragraph" w:styleId="35" w:customStyle="1">
    <w:name w:val="Заголовок3"/>
    <w:basedOn w:val="Normal"/>
    <w:next w:val="BodyText"/>
    <w:qFormat/>
    <w:pPr>
      <w:keepNext w:val="true"/>
      <w:spacing w:before="240" w:after="120"/>
    </w:pPr>
    <w:rPr>
      <w:rFonts w:ascii="Liberation Sans" w:hAnsi="Liberation Sans" w:eastAsia="Arial Unicode MS" w:cs="Arial Unicode MS"/>
      <w:sz w:val="28"/>
      <w:szCs w:val="28"/>
    </w:rPr>
  </w:style>
  <w:style w:type="paragraph" w:styleId="36" w:customStyle="1">
    <w:name w:val="Название объекта3"/>
    <w:basedOn w:val="Normal"/>
    <w:qFormat/>
    <w:pPr>
      <w:suppressLineNumbers/>
      <w:spacing w:before="120" w:after="120"/>
    </w:pPr>
    <w:rPr>
      <w:i/>
      <w:iCs/>
      <w:sz w:val="24"/>
      <w:szCs w:val="24"/>
    </w:rPr>
  </w:style>
  <w:style w:type="paragraph" w:styleId="37" w:customStyle="1">
    <w:name w:val="Указатель3"/>
    <w:basedOn w:val="Normal"/>
    <w:qFormat/>
    <w:pPr>
      <w:suppressLineNumbers/>
    </w:pPr>
    <w:rPr/>
  </w:style>
  <w:style w:type="paragraph" w:styleId="25" w:customStyle="1">
    <w:name w:val="Заголовок2"/>
    <w:basedOn w:val="Normal"/>
    <w:next w:val="BodyText"/>
    <w:qFormat/>
    <w:pPr>
      <w:keepNext w:val="true"/>
      <w:spacing w:before="240" w:after="120"/>
    </w:pPr>
    <w:rPr>
      <w:rFonts w:ascii="Liberation Sans" w:hAnsi="Liberation Sans" w:eastAsia="Arial Unicode MS" w:cs="Arial Unicode MS"/>
      <w:sz w:val="28"/>
      <w:szCs w:val="28"/>
    </w:rPr>
  </w:style>
  <w:style w:type="paragraph" w:styleId="26" w:customStyle="1">
    <w:name w:val="Название объекта2"/>
    <w:basedOn w:val="Normal"/>
    <w:qFormat/>
    <w:pPr>
      <w:suppressLineNumbers/>
      <w:spacing w:before="120" w:after="120"/>
    </w:pPr>
    <w:rPr>
      <w:i/>
      <w:iCs/>
      <w:sz w:val="24"/>
      <w:szCs w:val="24"/>
    </w:rPr>
  </w:style>
  <w:style w:type="paragraph" w:styleId="27" w:customStyle="1">
    <w:name w:val="Указатель2"/>
    <w:basedOn w:val="Normal"/>
    <w:qFormat/>
    <w:pPr>
      <w:suppressLineNumbers/>
    </w:pPr>
    <w:rPr/>
  </w:style>
  <w:style w:type="paragraph" w:styleId="17" w:customStyle="1">
    <w:name w:val="Заголовок1"/>
    <w:basedOn w:val="Normal"/>
    <w:next w:val="BodyText"/>
    <w:qFormat/>
    <w:pPr>
      <w:jc w:val="center"/>
    </w:pPr>
    <w:rPr>
      <w:b/>
      <w:bCs/>
      <w:sz w:val="28"/>
      <w:szCs w:val="24"/>
    </w:rPr>
  </w:style>
  <w:style w:type="paragraph" w:styleId="18" w:customStyle="1">
    <w:name w:val="Название объекта1"/>
    <w:basedOn w:val="Normal"/>
    <w:qFormat/>
    <w:pPr>
      <w:suppressLineNumbers/>
      <w:spacing w:before="120" w:after="120"/>
    </w:pPr>
    <w:rPr>
      <w:i/>
      <w:iCs/>
      <w:sz w:val="24"/>
      <w:szCs w:val="24"/>
    </w:rPr>
  </w:style>
  <w:style w:type="paragraph" w:styleId="19" w:customStyle="1">
    <w:name w:val="Указатель1"/>
    <w:basedOn w:val="Normal"/>
    <w:qFormat/>
    <w:pPr>
      <w:suppressLineNumbers/>
    </w:pPr>
    <w:rPr/>
  </w:style>
  <w:style w:type="paragraph" w:styleId="NormalWeb">
    <w:name w:val="Normal (Web)"/>
    <w:basedOn w:val="Normal"/>
    <w:qFormat/>
    <w:pPr>
      <w:spacing w:before="280" w:after="280"/>
      <w:ind w:hanging="0" w:right="150"/>
    </w:pPr>
    <w:rPr>
      <w:rFonts w:ascii="Tahoma" w:hAnsi="Tahoma" w:cs="Tahoma"/>
      <w:color w:val="000000"/>
    </w:rPr>
  </w:style>
  <w:style w:type="paragraph" w:styleId="212" w:customStyle="1">
    <w:name w:val="Основной текст 21"/>
    <w:basedOn w:val="Normal"/>
    <w:qFormat/>
    <w:pPr>
      <w:jc w:val="both"/>
    </w:pPr>
    <w:rPr/>
  </w:style>
  <w:style w:type="paragraph" w:styleId="Style19" w:customStyle="1">
    <w:name w:val="Колонтитул"/>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110" w:customStyle="1">
    <w:name w:val="Текст1"/>
    <w:basedOn w:val="Normal"/>
    <w:qFormat/>
    <w:pPr>
      <w:spacing w:before="0" w:after="120"/>
      <w:jc w:val="both"/>
    </w:pPr>
    <w:rPr>
      <w:rFonts w:ascii="Courier New" w:hAnsi="Courier New" w:cs="Courier New"/>
      <w:sz w:val="22"/>
    </w:rPr>
  </w:style>
  <w:style w:type="paragraph" w:styleId="311" w:customStyle="1">
    <w:name w:val="Основной текст 31"/>
    <w:basedOn w:val="Normal"/>
    <w:qFormat/>
    <w:pPr>
      <w:jc w:val="both"/>
    </w:pPr>
    <w:rPr>
      <w:sz w:val="28"/>
    </w:rPr>
  </w:style>
  <w:style w:type="paragraph" w:styleId="BodyTextIndent">
    <w:name w:val="Body Text Indent"/>
    <w:basedOn w:val="Normal"/>
    <w:pPr>
      <w:widowControl w:val="false"/>
      <w:shd w:val="clear" w:color="auto" w:fill="FFFFFF"/>
      <w:ind w:firstLine="567"/>
      <w:jc w:val="both"/>
    </w:pPr>
    <w:rPr>
      <w:sz w:val="22"/>
    </w:rPr>
  </w:style>
  <w:style w:type="paragraph" w:styleId="312" w:customStyle="1">
    <w:name w:val="Основной текст с отступом 31"/>
    <w:basedOn w:val="Normal"/>
    <w:qFormat/>
    <w:pPr>
      <w:shd w:val="clear" w:color="auto" w:fill="FFFFFF"/>
      <w:ind w:firstLine="567"/>
      <w:jc w:val="both"/>
    </w:pPr>
    <w:rPr>
      <w:sz w:val="28"/>
      <w:szCs w:val="24"/>
    </w:rPr>
  </w:style>
  <w:style w:type="paragraph" w:styleId="Style20" w:customStyle="1">
    <w:name w:val="Таблицы (моноширинный)"/>
    <w:basedOn w:val="Normal"/>
    <w:next w:val="Normal"/>
    <w:qFormat/>
    <w:pPr>
      <w:widowControl w:val="false"/>
      <w:jc w:val="both"/>
    </w:pPr>
    <w:rPr>
      <w:rFonts w:ascii="Courier New" w:hAnsi="Courier New" w:cs="Courier New"/>
    </w:rPr>
  </w:style>
  <w:style w:type="paragraph" w:styleId="213" w:customStyle="1">
    <w:name w:val="Основной текст с отступом 21"/>
    <w:basedOn w:val="Normal"/>
    <w:qFormat/>
    <w:pPr>
      <w:widowControl w:val="false"/>
      <w:ind w:hanging="0" w:left="1843"/>
      <w:jc w:val="both"/>
    </w:pPr>
    <w:rPr>
      <w:sz w:val="24"/>
    </w:rPr>
  </w:style>
  <w:style w:type="paragraph" w:styleId="BalloonText">
    <w:name w:val="Balloon Text"/>
    <w:basedOn w:val="Normal"/>
    <w:qFormat/>
    <w:pPr>
      <w:widowControl w:val="false"/>
    </w:pPr>
    <w:rPr>
      <w:rFonts w:ascii="Tahoma" w:hAnsi="Tahoma" w:cs="Tahoma"/>
      <w:sz w:val="16"/>
      <w:szCs w:val="16"/>
    </w:rPr>
  </w:style>
  <w:style w:type="paragraph" w:styleId="111" w:customStyle="1">
    <w:name w:val="Текст примечания1"/>
    <w:basedOn w:val="Normal"/>
    <w:qFormat/>
    <w:pPr>
      <w:widowControl w:val="false"/>
    </w:pPr>
    <w:rPr/>
  </w:style>
  <w:style w:type="paragraph" w:styleId="Annotationsubject">
    <w:name w:val="annotation subject"/>
    <w:basedOn w:val="111"/>
    <w:next w:val="111"/>
    <w:qFormat/>
    <w:pPr/>
    <w:rPr>
      <w:b/>
      <w:bCs/>
    </w:rPr>
  </w:style>
  <w:style w:type="paragraph" w:styleId="ListParagraph">
    <w:name w:val="List Paragraph"/>
    <w:basedOn w:val="Normal"/>
    <w:qFormat/>
    <w:pPr>
      <w:widowControl w:val="false"/>
      <w:spacing w:before="0" w:after="0"/>
      <w:ind w:hanging="0" w:left="720"/>
      <w:contextualSpacing/>
    </w:pPr>
    <w:rPr/>
  </w:style>
  <w:style w:type="paragraph" w:styleId="Style21" w:customStyle="1">
    <w:name w:val="Знак Знак Знак Знак Знак Знак Знак Знак Знак"/>
    <w:basedOn w:val="Normal"/>
    <w:qFormat/>
    <w:pPr>
      <w:spacing w:lineRule="exact" w:line="240" w:before="0" w:after="160"/>
      <w:jc w:val="both"/>
    </w:pPr>
    <w:rPr>
      <w:rFonts w:ascii="Verdana" w:hAnsi="Verdana" w:cs="Verdana"/>
      <w:sz w:val="22"/>
      <w:lang w:val="en-US"/>
    </w:rPr>
  </w:style>
  <w:style w:type="paragraph" w:styleId="Style22" w:customStyle="1">
    <w:name w:val="Подпункт договора"/>
    <w:basedOn w:val="Normal"/>
    <w:qFormat/>
    <w:pPr>
      <w:jc w:val="both"/>
    </w:pPr>
    <w:rPr>
      <w:rFonts w:ascii="Arial" w:hAnsi="Arial" w:cs="Arial"/>
    </w:rPr>
  </w:style>
  <w:style w:type="paragraph" w:styleId="ConsNormal" w:customStyle="1">
    <w:name w:val="ConsNormal"/>
    <w:qFormat/>
    <w:pPr>
      <w:widowControl/>
      <w:suppressAutoHyphens w:val="true"/>
      <w:bidi w:val="0"/>
      <w:spacing w:before="0" w:after="0"/>
      <w:ind w:firstLine="720" w:right="19772"/>
      <w:jc w:val="left"/>
    </w:pPr>
    <w:rPr>
      <w:rFonts w:ascii="Arial" w:hAnsi="Arial" w:eastAsia="Times New Roman" w:cs="Arial"/>
      <w:color w:val="auto"/>
      <w:kern w:val="0"/>
      <w:sz w:val="32"/>
      <w:szCs w:val="20"/>
      <w:lang w:val="ru-RU" w:eastAsia="zh-CN" w:bidi="ar-SA"/>
    </w:rPr>
  </w:style>
  <w:style w:type="paragraph" w:styleId="Style23" w:customStyle="1">
    <w:name w:val="Знак"/>
    <w:basedOn w:val="Normal"/>
    <w:qFormat/>
    <w:pPr>
      <w:spacing w:lineRule="exact" w:line="240" w:before="0" w:after="160"/>
    </w:pPr>
    <w:rPr>
      <w:rFonts w:ascii="Verdana" w:hAnsi="Verdana" w:cs="Verdana"/>
      <w:lang w:val="en-US"/>
    </w:rPr>
  </w:style>
  <w:style w:type="paragraph" w:styleId="FootnoteText">
    <w:name w:val="Footnote Text"/>
    <w:basedOn w:val="Normal"/>
    <w:pPr>
      <w:widowControl w:val="false"/>
    </w:pPr>
    <w:rPr/>
  </w:style>
  <w:style w:type="paragraph" w:styleId="313" w:customStyle="1">
    <w:name w:val="Маркированный список 31"/>
    <w:basedOn w:val="Normal"/>
    <w:qFormat/>
    <w:pPr>
      <w:spacing w:lineRule="auto" w:line="360" w:before="120" w:after="0"/>
      <w:ind w:firstLine="720"/>
      <w:jc w:val="both"/>
    </w:pPr>
    <w:rPr>
      <w:rFonts w:eastAsia="Calibri"/>
      <w:i/>
      <w:iCs/>
      <w:sz w:val="24"/>
      <w:szCs w:val="24"/>
    </w:rPr>
  </w:style>
  <w:style w:type="paragraph" w:styleId="-" w:customStyle="1">
    <w:name w:val="Контракт-пункт"/>
    <w:basedOn w:val="Normal"/>
    <w:qFormat/>
    <w:pPr>
      <w:spacing w:lineRule="auto" w:line="360"/>
      <w:ind w:hanging="851" w:left="851"/>
      <w:jc w:val="both"/>
    </w:pPr>
    <w:rPr>
      <w:rFonts w:eastAsia="Calibri"/>
      <w:sz w:val="28"/>
      <w:szCs w:val="28"/>
    </w:rPr>
  </w:style>
  <w:style w:type="paragraph" w:styleId="112" w:customStyle="1">
    <w:name w:val="Схема документа1"/>
    <w:basedOn w:val="Normal"/>
    <w:qFormat/>
    <w:pPr>
      <w:widowControl w:val="false"/>
      <w:shd w:val="clear" w:color="auto" w:fill="000080"/>
    </w:pPr>
    <w:rPr>
      <w:rFonts w:ascii="Tahoma" w:hAnsi="Tahoma" w:cs="Tahom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er">
    <w:name w:val="Header"/>
    <w:basedOn w:val="Normal"/>
    <w:pPr>
      <w:widowControl w:val="false"/>
    </w:pPr>
    <w:rPr/>
  </w:style>
  <w:style w:type="paragraph" w:styleId="113" w:customStyle="1">
    <w:name w:val="1. Статья"/>
    <w:basedOn w:val="Heading3"/>
    <w:qFormat/>
    <w:pPr>
      <w:keepNext w:val="false"/>
      <w:widowControl w:val="false"/>
      <w:numPr>
        <w:ilvl w:val="0"/>
        <w:numId w:val="11"/>
      </w:numPr>
      <w:tabs>
        <w:tab w:val="clear" w:pos="720"/>
        <w:tab w:val="left" w:pos="2340" w:leader="none"/>
      </w:tabs>
      <w:ind w:hanging="0" w:left="0" w:right="1462"/>
      <w:textAlignment w:val="baseline"/>
      <w:outlineLvl w:val="9"/>
    </w:pPr>
    <w:rPr>
      <w:b w:val="false"/>
      <w:sz w:val="24"/>
      <w:szCs w:val="24"/>
      <w:lang w:val="x-none"/>
    </w:rPr>
  </w:style>
  <w:style w:type="paragraph" w:styleId="28" w:customStyle="1">
    <w:name w:val="2. Пункт"/>
    <w:basedOn w:val="Heading3"/>
    <w:qFormat/>
    <w:pPr>
      <w:keepNext w:val="false"/>
      <w:widowControl w:val="false"/>
      <w:numPr>
        <w:ilvl w:val="0"/>
        <w:numId w:val="0"/>
      </w:numPr>
      <w:tabs>
        <w:tab w:val="left" w:pos="720" w:leader="none"/>
      </w:tabs>
      <w:ind w:hanging="360" w:left="720"/>
      <w:jc w:val="both"/>
      <w:textAlignment w:val="baseline"/>
      <w:outlineLvl w:val="9"/>
    </w:pPr>
    <w:rPr>
      <w:b w:val="false"/>
      <w:sz w:val="24"/>
      <w:szCs w:val="24"/>
      <w:lang w:val="x-none"/>
    </w:rPr>
  </w:style>
  <w:style w:type="paragraph" w:styleId="38" w:customStyle="1">
    <w:name w:val="3. Подпункт"/>
    <w:basedOn w:val="Heading3"/>
    <w:qFormat/>
    <w:pPr>
      <w:keepNext w:val="false"/>
      <w:widowControl w:val="false"/>
      <w:numPr>
        <w:ilvl w:val="0"/>
        <w:numId w:val="0"/>
      </w:numPr>
      <w:tabs>
        <w:tab w:val="left" w:pos="720" w:leader="none"/>
        <w:tab w:val="left" w:pos="1620" w:leader="none"/>
      </w:tabs>
      <w:ind w:hanging="360" w:left="720"/>
      <w:jc w:val="both"/>
      <w:textAlignment w:val="baseline"/>
      <w:outlineLvl w:val="9"/>
    </w:pPr>
    <w:rPr>
      <w:bCs/>
      <w:sz w:val="24"/>
      <w:szCs w:val="24"/>
      <w:lang w:val="x-none"/>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29" w:customStyle="1">
    <w:name w:val="Основной текст2"/>
    <w:basedOn w:val="Normal"/>
    <w:qFormat/>
    <w:pPr>
      <w:widowControl w:val="false"/>
      <w:shd w:val="clear" w:color="auto" w:fill="FFFFFF"/>
      <w:spacing w:lineRule="exact" w:line="230"/>
      <w:ind w:hanging="360"/>
      <w:jc w:val="center"/>
    </w:pPr>
    <w:rPr>
      <w:rFonts w:cs="Calibri"/>
      <w:sz w:val="22"/>
      <w:szCs w:val="22"/>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ru-RU" w:eastAsia="zh-CN" w:bidi="ar-SA"/>
    </w:rPr>
  </w:style>
  <w:style w:type="paragraph" w:styleId="TableParagraph" w:customStyle="1">
    <w:name w:val="Table Paragraph"/>
    <w:basedOn w:val="Normal"/>
    <w:qFormat/>
    <w:pPr>
      <w:widowControl w:val="false"/>
      <w:spacing w:before="189" w:after="0"/>
      <w:ind w:hanging="0" w:left="277"/>
    </w:pPr>
    <w:rPr>
      <w:rFonts w:ascii="Calibri" w:hAnsi="Calibri" w:eastAsia="Calibri" w:cs="Calibri"/>
      <w:sz w:val="22"/>
      <w:szCs w:val="22"/>
    </w:rPr>
  </w:style>
  <w:style w:type="paragraph" w:styleId="210" w:customStyle="1">
    <w:name w:val="Текст2"/>
    <w:basedOn w:val="Normal"/>
    <w:next w:val="39"/>
    <w:qFormat/>
    <w:pPr/>
    <w:rPr>
      <w:rFonts w:ascii="Calibri" w:hAnsi="Calibri" w:cs="Calibri"/>
      <w:szCs w:val="21"/>
    </w:rPr>
  </w:style>
  <w:style w:type="paragraph" w:styleId="114" w:customStyle="1">
    <w:name w:val="Заголовок оглавления1"/>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115" w:customStyle="1">
    <w:name w:val="Оглавление 11"/>
    <w:basedOn w:val="Normal"/>
    <w:next w:val="Normal"/>
    <w:qFormat/>
    <w:pPr>
      <w:spacing w:lineRule="auto" w:line="276" w:before="0" w:after="100"/>
    </w:pPr>
    <w:rPr>
      <w:rFonts w:ascii="Calibri" w:hAnsi="Calibri" w:eastAsia="Calibri"/>
      <w:sz w:val="22"/>
      <w:szCs w:val="22"/>
    </w:rPr>
  </w:style>
  <w:style w:type="paragraph" w:styleId="214" w:customStyle="1">
    <w:name w:val="Оглавление 21"/>
    <w:basedOn w:val="Normal"/>
    <w:next w:val="Normal"/>
    <w:qFormat/>
    <w:pPr>
      <w:spacing w:lineRule="auto" w:line="276" w:before="0" w:after="100"/>
      <w:ind w:hanging="0" w:left="220"/>
    </w:pPr>
    <w:rPr>
      <w:rFonts w:ascii="Calibri" w:hAnsi="Calibri" w:eastAsia="Calibri"/>
      <w:sz w:val="22"/>
      <w:szCs w:val="22"/>
    </w:rPr>
  </w:style>
  <w:style w:type="paragraph" w:styleId="314" w:customStyle="1">
    <w:name w:val="Оглавление 31"/>
    <w:basedOn w:val="Normal"/>
    <w:next w:val="Normal"/>
    <w:qFormat/>
    <w:pPr>
      <w:spacing w:lineRule="auto" w:line="276" w:before="0" w:after="100"/>
      <w:ind w:hanging="0" w:left="440"/>
    </w:pPr>
    <w:rPr>
      <w:rFonts w:ascii="Calibri" w:hAnsi="Calibri" w:eastAsia="Calibri"/>
      <w:sz w:val="22"/>
      <w:szCs w:val="22"/>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39" w:customStyle="1">
    <w:name w:val="Текст3"/>
    <w:basedOn w:val="Normal"/>
    <w:qFormat/>
    <w:pPr/>
    <w:rPr>
      <w:rFonts w:ascii="Courier New" w:hAnsi="Courier New" w:cs="Courier New"/>
    </w:rPr>
  </w:style>
  <w:style w:type="paragraph" w:styleId="215" w:customStyle="1">
    <w:name w:val="Заголовок оглавления2"/>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121" w:customStyle="1">
    <w:name w:val="Оглавление 12"/>
    <w:basedOn w:val="Normal"/>
    <w:next w:val="Normal"/>
    <w:qFormat/>
    <w:pPr>
      <w:spacing w:lineRule="auto" w:line="276" w:before="0" w:after="100"/>
    </w:pPr>
    <w:rPr>
      <w:rFonts w:ascii="Calibri" w:hAnsi="Calibri" w:eastAsia="Calibri"/>
      <w:sz w:val="22"/>
      <w:szCs w:val="22"/>
    </w:rPr>
  </w:style>
  <w:style w:type="paragraph" w:styleId="221" w:customStyle="1">
    <w:name w:val="Оглавление 22"/>
    <w:basedOn w:val="Normal"/>
    <w:next w:val="Normal"/>
    <w:qFormat/>
    <w:pPr>
      <w:spacing w:lineRule="auto" w:line="276" w:before="0" w:after="100"/>
      <w:ind w:hanging="0" w:left="220"/>
    </w:pPr>
    <w:rPr>
      <w:rFonts w:ascii="Calibri" w:hAnsi="Calibri" w:eastAsia="Calibri"/>
      <w:sz w:val="22"/>
      <w:szCs w:val="22"/>
    </w:rPr>
  </w:style>
  <w:style w:type="paragraph" w:styleId="321" w:customStyle="1">
    <w:name w:val="Оглавление 32"/>
    <w:basedOn w:val="Normal"/>
    <w:next w:val="Normal"/>
    <w:qFormat/>
    <w:pPr>
      <w:spacing w:lineRule="auto" w:line="276" w:before="0" w:after="100"/>
      <w:ind w:hanging="0" w:left="440"/>
    </w:pPr>
    <w:rPr>
      <w:rFonts w:ascii="Calibri" w:hAnsi="Calibri" w:eastAsia="Calibri"/>
      <w:sz w:val="22"/>
      <w:szCs w:val="22"/>
    </w:rPr>
  </w:style>
  <w:style w:type="paragraph" w:styleId="310" w:customStyle="1">
    <w:name w:val="Заголовок оглавления3"/>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TOC1">
    <w:name w:val="TOC 1"/>
    <w:basedOn w:val="Normal"/>
    <w:next w:val="Normal"/>
    <w:pPr>
      <w:tabs>
        <w:tab w:val="clear" w:pos="720"/>
        <w:tab w:val="left" w:pos="440" w:leader="none"/>
        <w:tab w:val="right" w:pos="10138" w:leader="dot"/>
      </w:tabs>
      <w:spacing w:lineRule="auto" w:line="276" w:before="0" w:after="100"/>
    </w:pPr>
    <w:rPr>
      <w:rFonts w:eastAsia="Calibri"/>
      <w:b/>
      <w:bCs/>
      <w:sz w:val="22"/>
      <w:szCs w:val="22"/>
      <w:lang w:eastAsia="ru-RU"/>
    </w:rPr>
  </w:style>
  <w:style w:type="paragraph" w:styleId="TOC2">
    <w:name w:val="TOC 2"/>
    <w:basedOn w:val="Normal"/>
    <w:next w:val="Normal"/>
    <w:pPr>
      <w:spacing w:lineRule="auto" w:line="276" w:before="0" w:after="100"/>
      <w:ind w:hanging="0" w:left="220"/>
    </w:pPr>
    <w:rPr>
      <w:rFonts w:ascii="Calibri" w:hAnsi="Calibri" w:eastAsia="Calibri"/>
      <w:sz w:val="22"/>
      <w:szCs w:val="22"/>
    </w:rPr>
  </w:style>
  <w:style w:type="paragraph" w:styleId="TOC3">
    <w:name w:val="TOC 3"/>
    <w:basedOn w:val="Normal"/>
    <w:next w:val="Normal"/>
    <w:pPr>
      <w:spacing w:lineRule="auto" w:line="276" w:before="0" w:after="100"/>
      <w:ind w:hanging="0" w:left="440"/>
    </w:pPr>
    <w:rPr>
      <w:rFonts w:ascii="Calibri" w:hAnsi="Calibri" w:eastAsia="Calibri"/>
      <w:sz w:val="22"/>
      <w:szCs w:val="22"/>
    </w:rPr>
  </w:style>
  <w:style w:type="paragraph" w:styleId="Msonormal" w:customStyle="1">
    <w:name w:val="msonormal"/>
    <w:basedOn w:val="Normal"/>
    <w:qFormat/>
    <w:pPr>
      <w:spacing w:before="280" w:after="280"/>
    </w:pPr>
    <w:rPr>
      <w:sz w:val="24"/>
      <w:szCs w:val="24"/>
    </w:rPr>
  </w:style>
  <w:style w:type="paragraph" w:styleId="Xl65" w:customStyle="1">
    <w:name w:val="xl6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paragraph" w:styleId="Style26" w:customStyle="1">
    <w:name w:val="Содержимое врезки"/>
    <w:basedOn w:val="Normal"/>
    <w:qFormat/>
    <w:pPr/>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Calibri" w:cs="F"/>
      <w:color w:val="auto"/>
      <w:kern w:val="0"/>
      <w:sz w:val="22"/>
      <w:szCs w:val="22"/>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Application>AlterOffice/2026.1.1.1$Linux_X86_64 LibreOffice_project/3e21501661f60bfec03e40427f644625fc6a58b7</Application>
  <AppVersion>15.0000</AppVersion>
  <Pages>19</Pages>
  <Words>6405</Words>
  <Characters>45231</Characters>
  <CharactersWithSpaces>51506</CharactersWithSpaces>
  <Paragraphs>296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2025-09-22T09:29:00Z</dcterms:created>
  <dc:creator>Света &amp; Алла (Twix)</dc:creator>
  <dc:description/>
  <dc:language>ru-RU</dc:language>
  <cp:lastModifiedBy>petrovaov@corp.gidroogk.com</cp:lastModifiedBy>
  <cp:lastPrinted>2024-04-06T09:37:00Z</cp:lastPrinted>
  <dcterms:modified xsi:type="dcterms:W3CDTF">2026-06-11T10:39:05Z</dcterms:modified>
  <cp:revision>17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